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设备采购项目（HIS容灾、签字板、PDA）</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内蒙古鹏圣项目管理有限责任公司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CFSYYCG-2025-001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内蒙古鹏圣项目管理有限责任公司</w:t>
      </w:r>
      <w:r>
        <w:rPr>
          <w:rFonts w:ascii="仿宋_GB2312" w:hAnsi="仿宋_GB2312" w:cs="仿宋_GB2312" w:eastAsia="仿宋_GB2312"/>
        </w:rPr>
        <w:t xml:space="preserve"> 受 </w:t>
      </w:r>
      <w:r>
        <w:rPr>
          <w:rFonts w:ascii="仿宋_GB2312" w:hAnsi="仿宋_GB2312" w:cs="仿宋_GB2312" w:eastAsia="仿宋_GB2312"/>
        </w:rPr>
        <w:t>赤峰市医院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设备采购项目（HIS容灾、签字板、PDA）</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设备采购项目（HIS容灾、签字板、PDA）</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CFSYYCG-2025-001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赤政采计划[2025]00155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HIS容灾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PDA</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签字板</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内蒙古鹏圣项目管理有限责任公司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内蒙古自治区赤峰市松山区御园财富广场C座12楼1211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苏先生、郑女士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0476-8287770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赤峰市红山区昭乌达路中段1号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04768890631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代理服务费收费标准：参照《内蒙古自治区建设工程招标代理服务收费指导意见》(内工建协2022【34】号)下浮 20%计取。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赤峰市医院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内蒙古鹏圣项目管理有限责任公司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提供以下第1或2或3项材料均可： 1.供应商2023或2024年 度经会计师事务所出具的财务审计报告； 2.供应商基本开户 银行近一年内出具的银行资信证明； 3.供应商出具的“具有 良好的商业信誉和健全的财务会计制度”的承诺书。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提供以下第1或2项材料均可： 1.递交投标文件截止之日前 一年内（至少一个月）的： （1）缴纳税收的相关凭据（税 务机关提供的纳税凭据或银行入账单或其他缴纳凭证）； （ 2）缴纳社会保险的凭证（专用收据或社会保险缴纳清单或 其他缴纳凭证）。 2.供应商出具的“具有依法缴纳税收和社 会保障资金的良好记录”的承诺书。 注：其他组织和自然人 也需要提供缴纳。依法免税或不需要缴纳社会保障资金的供 应商，应提供相应文件证明其依法免税或 不需要缴纳社会保 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为进一步提升医疗服务水平，提升医疗质量，根据实际工作需要，我单位拟为</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合同签订之日起至本项目履约结束</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1、本合同项目安装验收完成，待财政专项资金到位后（如属于财政专项资金部分），乙方出具与合同标的信息一致、符合财政、税务相关规定的发票，甲方收到发票后 2 个月内付合同金额的60%；，达到付款条件起60日，支付合同总金额的60.00%</w:t>
            </w:r>
          </w:p>
          <w:p>
            <w:pPr>
              <w:pStyle w:val="null5"/>
              <w:jc w:val="left"/>
            </w:pPr>
            <w:r>
              <w:rPr>
                <w:rFonts w:ascii="仿宋_GB2312" w:hAnsi="仿宋_GB2312" w:cs="仿宋_GB2312" w:eastAsia="仿宋_GB2312"/>
              </w:rPr>
              <w:t>2、一年后付合同金额的30%，，达到付款条件起60日，支付合同总金额的30.00%</w:t>
            </w:r>
          </w:p>
          <w:p>
            <w:pPr>
              <w:pStyle w:val="null5"/>
              <w:jc w:val="left"/>
            </w:pPr>
            <w:r>
              <w:rPr>
                <w:rFonts w:ascii="仿宋_GB2312" w:hAnsi="仿宋_GB2312" w:cs="仿宋_GB2312" w:eastAsia="仿宋_GB2312"/>
              </w:rPr>
              <w:t>3、尾款10%两年后付清。，达到付款条件起60日，支付合同总金额的10.00%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标的名称：HIS容灾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（全闪存储系统）▲品牌：知名存储品牌．具有自有知识产权和开发能力产品。</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（全闪存储系统）▲品牌：提供双控多核软件著作权证书，提供CCC国家认证证书。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（全闪存储系统）▲品牌：设备制造商通过ISO9001、ISO14001、ISO20000、ISO27001、ISO45001认证；</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（全闪存储系统）体系结构：统一存储系统，同时支持NAS、IP SAN、FC SAN和vVol模式， SAN控制器和NAS控制器需采用统一硬件模块，并配置统一存储SAN和NAS软件许可。</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（全闪存储系统）控制器：本次配置≥2个控制器，核心数≥12核X86处理器核心</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（全闪存储系统）控制器：最大支持存储主机端口数≥20个，支持主机接口类型8Gb、16Gb FC主机接口，10GB、25GB 光口网络主机接口，1Gb、10Gb 电口网络接口；</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（全闪存储系统）控制器：本次配置16Gb FC接口≥4个；10Gb SFP+接口≥8个（含光模块）</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（全闪存储系统）存储缓存：配置系统缓存≥128GB，读写缓存的比率需要能够调整；提供掉电后缓存数据保护机制，掉电后数据必须回写到硬盘</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（全闪存储系统）▲存储缓存：支持扩展可读写缓存,最大总缓存≥928GB，读写缓存的大小可以在线调整，提供缓存加速技术的软件著作权登记证书</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（全闪存储系统）硬盘支持与配置：配置25块1.92TB SAS SSD 2.5英寸磁盘，可用容量不少于34TB；数据压缩重构后有效容量不低于79TB；</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（全闪存储系统）硬盘支持与配置：单台磁盘阵列（不包括集群或存储虚拟化）最大可扩展到≥500块硬盘</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（全闪存储系统）后端磁盘接口：后端磁盘接口：配置后端SAS磁盘连接，接口速度12Gb/s</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（全闪存储系统）高可靠性：磁盘阵列系统具有高可靠性，达到99.999%可用性；具有关键部件冗余配置，在线维护能力</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（全闪存储系统）RAID方式：支持多种RAID存储方式，包括RAID10，RAID5，RAID6。支持不同RAID级别并存。</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（全闪存储系统）空间优化：配置LUN级别的压缩功能、配置块级和文件级重复数据消除功能</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（全闪存储系统）空间优化：配置全容量的自动精简配置功能，按照实际使用的存储容量分配存储空间，提高存储利用率</w:t>
            </w:r>
          </w:p>
        </w:tc>
      </w:tr>
      <w:tr>
        <w:tc>
          <w:tcPr>
            <w:tcW w:type="dxa" w:w="2769"/>
          </w:tcPr>
          <w:p>
            <w:pPr>
              <w:pStyle w:val="null5"/>
              <w:jc w:val="left"/>
            </w:pPr>
            <w:r>
              <w:rPr>
                <w:rFonts w:ascii="仿宋_GB2312" w:hAnsi="仿宋_GB2312" w:cs="仿宋_GB2312" w:eastAsia="仿宋_GB2312"/>
              </w:rPr>
              <w:t>17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（全闪存储系统）配置存储QoS能力，支持基于应用程序的服务级别管理，可根据应用重要性调整优先级别管理磁盘存储资源（响应时间、带宽、吞吐量等）</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（全闪存储系统）配置图形化存储管理软件，支持带外管理，中文管理界面</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（全闪存储系统）支持应用程序服务级别管理功能；通过优化磁盘阵列中的应用程序IO队列，决定哪些应用程序可以获得更多的可用系统资源</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全闪存储系统）▲配置数据自动分层功能许可，可支持SSD、SAS、NL-SAS三层分层架构，根据数据的活动状况，自动将热点数据调整到高速磁盘上，将非热点数据调整到低速磁盘上；可设置迁移策略和迁移时间，迁移过程对主机透明，无需停机</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（全闪存储系统）配置缓存加速功能许可，支持SSD缓存加速功能，SSD自动快速缓存低速的传统机械磁盘，从而提升存储数据读写性能。</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（全闪存储系统）配置数据复制功能许可，支持同步和异步方式，支持基于阵列的数据级和文件级的复制功能，支持本地和远程数据复制功能</w:t>
            </w:r>
          </w:p>
        </w:tc>
      </w:tr>
      <w:tr>
        <w:tc>
          <w:tcPr>
            <w:tcW w:type="dxa" w:w="2769"/>
          </w:tcPr>
          <w:p>
            <w:pPr>
              <w:pStyle w:val="null5"/>
              <w:jc w:val="left"/>
            </w:pPr>
            <w:r>
              <w:rPr>
                <w:rFonts w:ascii="仿宋_GB2312" w:hAnsi="仿宋_GB2312" w:cs="仿宋_GB2312" w:eastAsia="仿宋_GB2312"/>
              </w:rPr>
              <w:t>23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（全闪存储系统）配置远程数据容灾许可，并提供一套≥4TB核心业务数据存储远程容灾保护套件，实现存储块数据和文件数据的同步或者异步保护。</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全闪存储系统）▲配置数据保护套件许可，支持本地自动快照、本地克隆技术，实现数据逻辑故障保护；磁盘阵列内置I/O数据拆分功能，结合连续数据保护装置支持连续数据保护功能，能实现IO级别恢复粒度，能够提供无限恢复点</w:t>
            </w:r>
          </w:p>
        </w:tc>
      </w:tr>
      <w:tr>
        <w:tc>
          <w:tcPr>
            <w:tcW w:type="dxa" w:w="2769"/>
          </w:tcPr>
          <w:p>
            <w:pPr>
              <w:pStyle w:val="null5"/>
              <w:jc w:val="left"/>
            </w:pPr>
            <w:r>
              <w:rPr>
                <w:rFonts w:ascii="仿宋_GB2312" w:hAnsi="仿宋_GB2312" w:cs="仿宋_GB2312" w:eastAsia="仿宋_GB2312"/>
              </w:rPr>
              <w:t>25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（全闪存储系统）支持VMware虚拟机连续数据保护功能，内置VMware平台I/O数据拆分器，实现IO级别恢复粒度，能够提供无限数据恢复点；</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（全闪存储系统）支持快照、压缩、重复数据消除、复制，卷镜像等功能必须能同时使用于一个LUN，不受限制。</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（全闪存储系统）▲支持双活数据软件用于远程数据容灾保护，并支持同品牌异构双活存储网关，实现本地或者远程存储双活容灾。</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（全闪存储系统）支持设备多路径软件，实现对主机的多通道路径访问以及对应用透明的自动故障通道切换及负载均衡，具备在SAN环境中的负载均衡功能</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（全闪存储系统）▲投标产品需配置 FCP，ISCSI，CIFS，NFS 协议；在同一控制器内同时支持并提供 NAS、IP SAN 和 FC SAN 模式； 全冗余模块化体系结构。支持 LUN、VVOLs 及 NAS服务器，分别提供数据块和文件访问服务。提供证明材料。</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（全闪存储系统）▲能够在线修改卷的IO Size或Block Size，便于存储后期性能调优。投标文件中需提供相关证明文件</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（全闪存储系统）▲配置不限容量的本地数据快照许可， 每个 LUN 的快照数量≥256 个</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全闪存储系统）▲配置不限容量的远程容灾同步/异步复制功能，支持文件级和块级别的存储间的双向复制架构，支持一致性组复制关系；数据差异可控制到分钟级，可通过快照、克隆功能，能对容灾数据进行恢复及测试演练；支持连续数据保护功能，能实现IO级别恢复粒度，能够提供无限恢复点，磁盘阵列内置I/O数据拆分功能；快照、压缩、重复数据消除、复制，卷镜像等功能必须能同时使用于一个LUN，不受限制</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（全闪存储系统）▲提供对主流操作系统的支持等；支持 OpenStack Cinder最新版；支持 OpenStack Manila；支持最新版本 VMware 相关存储协议（提供 VMware 官网 VAAI、VASA、VVOLs 认证截图及技术承诺函或可查询的官网链接</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（全闪存储系统）▲配置应用程序数据保护功能。提供由 SLA 驱动的简单自助服务方式来保护、恢复和克隆关键的Microsoft 与 Oracle 应用程序以及 VMware 环境。支持定义服务计划，应用程序所有者即可使用基本存储复制技术，采用项目级粒度对生产数据进行快速保护、恢复和克隆。要求提供应用程序保护监视服务， 可在不能满足 SLA 时生成警报。提供证明材料。</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（全闪存储系统）▲提供与存储同一品牌的原厂服务器性能分析软件；软件无代理程序并可以远程运行，并能够收集磁盘I/O、吞吐量、容量、使用率等指标， 支持windows、linux 系统； 按需随时进行性能评估。需提供分析报告文件样本截图</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（全闪存储系统）支持多云环境数据知道分层和数据归档，支持云基础架构管理平台，提供存储监控、分析，预测和全面的健康评分；</w:t>
            </w:r>
          </w:p>
        </w:tc>
      </w:tr>
      <w:tr>
        <w:tc>
          <w:tcPr>
            <w:tcW w:type="dxa" w:w="2769"/>
          </w:tcPr>
          <w:p>
            <w:pPr>
              <w:pStyle w:val="null5"/>
              <w:jc w:val="left"/>
            </w:pPr>
            <w:r>
              <w:rPr>
                <w:rFonts w:ascii="仿宋_GB2312" w:hAnsi="仿宋_GB2312" w:cs="仿宋_GB2312" w:eastAsia="仿宋_GB2312"/>
              </w:rPr>
              <w:t>37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w:t>
            </w:r>
            <w:r>
              <w:rPr>
                <w:rFonts w:ascii="仿宋_GB2312" w:hAnsi="仿宋_GB2312" w:cs="仿宋_GB2312" w:eastAsia="仿宋_GB2312"/>
                <w:sz w:val="21"/>
              </w:rPr>
              <w:t>提供3年每周7x24小时的原厂服务，首次原厂工程师免费上门安装服务。</w:t>
            </w:r>
          </w:p>
        </w:tc>
      </w:tr>
      <w:tr>
        <w:tc>
          <w:tcPr>
            <w:tcW w:type="dxa" w:w="2769"/>
          </w:tcPr>
          <w:p>
            <w:pPr>
              <w:pStyle w:val="null5"/>
              <w:jc w:val="left"/>
            </w:pPr>
            <w:r>
              <w:rPr>
                <w:rFonts w:ascii="仿宋_GB2312" w:hAnsi="仿宋_GB2312" w:cs="仿宋_GB2312" w:eastAsia="仿宋_GB2312"/>
              </w:rPr>
              <w:t>38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（全闪存储系统）3年内提供软硬件维修服务、免费更换故障配件、升级系统版本等服务。</w:t>
            </w:r>
          </w:p>
        </w:tc>
      </w:tr>
      <w:tr>
        <w:tc>
          <w:tcPr>
            <w:tcW w:type="dxa" w:w="2769"/>
          </w:tcPr>
          <w:p>
            <w:pPr>
              <w:pStyle w:val="null5"/>
              <w:jc w:val="left"/>
            </w:pPr>
            <w:r>
              <w:rPr>
                <w:rFonts w:ascii="仿宋_GB2312" w:hAnsi="仿宋_GB2312" w:cs="仿宋_GB2312" w:eastAsia="仿宋_GB2312"/>
              </w:rPr>
              <w:t>39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（全闪存储系统）为了统一管理维护，投标供应商需提供所投产品与现有存储系统的无逢对接承诺函（格式自拟）。</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（全闪存储系统）</w:t>
            </w:r>
            <w:r>
              <w:rPr>
                <w:rFonts w:ascii="仿宋_GB2312" w:hAnsi="仿宋_GB2312" w:cs="仿宋_GB2312" w:eastAsia="仿宋_GB2312"/>
                <w:sz w:val="21"/>
                <w:color w:val="000000"/>
              </w:rPr>
              <w:t>▲</w:t>
            </w:r>
            <w:r>
              <w:rPr>
                <w:rFonts w:ascii="仿宋_GB2312" w:hAnsi="仿宋_GB2312" w:cs="仿宋_GB2312" w:eastAsia="仿宋_GB2312"/>
              </w:rPr>
              <w:t>为了统一管理维护，需兼容现有的运维软件，可以和现在的运维软件无缝对接，统一管理,需提供运维软件公司的兼容证明，并加盖运维厂家公章；</w:t>
            </w:r>
          </w:p>
        </w:tc>
      </w:tr>
      <w:tr>
        <w:tc>
          <w:tcPr>
            <w:tcW w:type="dxa" w:w="2769"/>
          </w:tcPr>
          <w:p>
            <w:pPr>
              <w:pStyle w:val="null5"/>
              <w:jc w:val="left"/>
            </w:pPr>
            <w:r>
              <w:rPr>
                <w:rFonts w:ascii="仿宋_GB2312" w:hAnsi="仿宋_GB2312" w:cs="仿宋_GB2312" w:eastAsia="仿宋_GB2312"/>
              </w:rPr>
              <w:t>41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（存储双活网关）为了产品兼容性，要求与投标存储相同品牌。</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（存储双活网关）体系结构：Active-Active的控制器架构，非ALUA架构，对于每一个卷来说所有控制器都是活跃的主控。</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（存储双活网关）体系结构：全冗余模块化体系结构；</w:t>
            </w:r>
          </w:p>
        </w:tc>
      </w:tr>
      <w:tr>
        <w:tc>
          <w:tcPr>
            <w:tcW w:type="dxa" w:w="2769"/>
          </w:tcPr>
          <w:p>
            <w:pPr>
              <w:pStyle w:val="null5"/>
              <w:jc w:val="left"/>
            </w:pPr>
            <w:r>
              <w:rPr>
                <w:rFonts w:ascii="仿宋_GB2312" w:hAnsi="仿宋_GB2312" w:cs="仿宋_GB2312" w:eastAsia="仿宋_GB2312"/>
              </w:rPr>
              <w:t>44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（存储双活网关）1.配置本地同构/异构存储虚拟化功能；</w:t>
            </w:r>
          </w:p>
        </w:tc>
      </w:tr>
      <w:tr>
        <w:tc>
          <w:tcPr>
            <w:tcW w:type="dxa" w:w="2769"/>
          </w:tcPr>
          <w:p>
            <w:pPr>
              <w:pStyle w:val="null5"/>
              <w:jc w:val="left"/>
            </w:pPr>
            <w:r>
              <w:rPr>
                <w:rFonts w:ascii="仿宋_GB2312" w:hAnsi="仿宋_GB2312" w:cs="仿宋_GB2312" w:eastAsia="仿宋_GB2312"/>
              </w:rPr>
              <w:t>45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（存储双活网关）2.支持跨同步距离的数据中心之间的存储虚拟化；</w:t>
            </w:r>
          </w:p>
        </w:tc>
      </w:tr>
      <w:tr>
        <w:tc>
          <w:tcPr>
            <w:tcW w:type="dxa" w:w="2769"/>
          </w:tcPr>
          <w:p>
            <w:pPr>
              <w:pStyle w:val="null5"/>
              <w:jc w:val="left"/>
            </w:pPr>
            <w:r>
              <w:rPr>
                <w:rFonts w:ascii="仿宋_GB2312" w:hAnsi="仿宋_GB2312" w:cs="仿宋_GB2312" w:eastAsia="仿宋_GB2312"/>
              </w:rPr>
              <w:t>46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（存储双活网关）3.支持跨异构阵列、跨距离的存储联合功能；</w:t>
            </w:r>
          </w:p>
        </w:tc>
      </w:tr>
      <w:tr>
        <w:tc>
          <w:tcPr>
            <w:tcW w:type="dxa" w:w="2769"/>
          </w:tcPr>
          <w:p>
            <w:pPr>
              <w:pStyle w:val="null5"/>
              <w:jc w:val="left"/>
            </w:pPr>
            <w:r>
              <w:rPr>
                <w:rFonts w:ascii="仿宋_GB2312" w:hAnsi="仿宋_GB2312" w:cs="仿宋_GB2312" w:eastAsia="仿宋_GB2312"/>
              </w:rPr>
              <w:t>47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（存储双活网关）4.支持本地跨异构阵列的主机无感知数据迁移，0停机时间，数据迁移速率用户可控。</w:t>
            </w:r>
          </w:p>
        </w:tc>
      </w:tr>
      <w:tr>
        <w:tc>
          <w:tcPr>
            <w:tcW w:type="dxa" w:w="2769"/>
          </w:tcPr>
          <w:p>
            <w:pPr>
              <w:pStyle w:val="null5"/>
              <w:jc w:val="left"/>
            </w:pPr>
            <w:r>
              <w:rPr>
                <w:rFonts w:ascii="仿宋_GB2312" w:hAnsi="仿宋_GB2312" w:cs="仿宋_GB2312" w:eastAsia="仿宋_GB2312"/>
              </w:rPr>
              <w:t>48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（存储双活网关）5.可扩展为支持跨数据中心双活，双活数据盘在2个数据中心的主机看来的标识是同一个，双活数据盘在两个数据中心都可以同时被主机挂载并进行本地读写，配合数据库集群技术比如Oracle Extended RAC，可以实现两个站点的主机同时对同一数据库进行读写操作,且两个站点的主机是各自访问本站点各自的双活数据盘,VMware利用双活数据盘可以实现跨数据中心的vMotion以及DRS功能。</w:t>
            </w:r>
          </w:p>
        </w:tc>
      </w:tr>
      <w:tr>
        <w:tc>
          <w:tcPr>
            <w:tcW w:type="dxa" w:w="2769"/>
          </w:tcPr>
          <w:p>
            <w:pPr>
              <w:pStyle w:val="null5"/>
              <w:jc w:val="left"/>
            </w:pPr>
            <w:r>
              <w:rPr>
                <w:rFonts w:ascii="仿宋_GB2312" w:hAnsi="仿宋_GB2312" w:cs="仿宋_GB2312" w:eastAsia="仿宋_GB2312"/>
              </w:rPr>
              <w:t>49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（存储双活网关）6.支持复制链路单链路双向复制</w:t>
            </w:r>
          </w:p>
        </w:tc>
      </w:tr>
      <w:tr>
        <w:tc>
          <w:tcPr>
            <w:tcW w:type="dxa" w:w="2769"/>
          </w:tcPr>
          <w:p>
            <w:pPr>
              <w:pStyle w:val="null5"/>
              <w:jc w:val="left"/>
            </w:pPr>
            <w:r>
              <w:rPr>
                <w:rFonts w:ascii="仿宋_GB2312" w:hAnsi="仿宋_GB2312" w:cs="仿宋_GB2312" w:eastAsia="仿宋_GB2312"/>
              </w:rPr>
              <w:t>50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（存储双活网关）7.支持跨同步距离的数据共享，数据可以被不同数据中心的主机同时挂载；</w:t>
            </w:r>
          </w:p>
        </w:tc>
      </w:tr>
      <w:tr>
        <w:tc>
          <w:tcPr>
            <w:tcW w:type="dxa" w:w="2769"/>
          </w:tcPr>
          <w:p>
            <w:pPr>
              <w:pStyle w:val="null5"/>
              <w:jc w:val="left"/>
            </w:pPr>
            <w:r>
              <w:rPr>
                <w:rFonts w:ascii="仿宋_GB2312" w:hAnsi="仿宋_GB2312" w:cs="仿宋_GB2312" w:eastAsia="仿宋_GB2312"/>
              </w:rPr>
              <w:t>51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（存储双活网关）8.支持本地主机可以通过高可用存储系统设备访问异地存储；提供证明材料。</w:t>
            </w:r>
          </w:p>
        </w:tc>
      </w:tr>
      <w:tr>
        <w:tc>
          <w:tcPr>
            <w:tcW w:type="dxa" w:w="2769"/>
          </w:tcPr>
          <w:p>
            <w:pPr>
              <w:pStyle w:val="null5"/>
              <w:jc w:val="left"/>
            </w:pPr>
            <w:r>
              <w:rPr>
                <w:rFonts w:ascii="仿宋_GB2312" w:hAnsi="仿宋_GB2312" w:cs="仿宋_GB2312" w:eastAsia="仿宋_GB2312"/>
              </w:rPr>
              <w:t>52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（存储双活网关）要求支持医院现有存储Unity；</w:t>
            </w:r>
          </w:p>
        </w:tc>
      </w:tr>
      <w:tr>
        <w:tc>
          <w:tcPr>
            <w:tcW w:type="dxa" w:w="2769"/>
          </w:tcPr>
          <w:p>
            <w:pPr>
              <w:pStyle w:val="null5"/>
              <w:jc w:val="left"/>
            </w:pPr>
            <w:r>
              <w:rPr>
                <w:rFonts w:ascii="仿宋_GB2312" w:hAnsi="仿宋_GB2312" w:cs="仿宋_GB2312" w:eastAsia="仿宋_GB2312"/>
              </w:rPr>
              <w:t>53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（存储双活网关）专有硬件处理双活复制/存储虚拟化的负载， 不消耗主机性能和存储控制器的CPU缓存资源，不影响存储阵列的性能；</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（存储双活网关）提供高冗余的硬件组件；</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（存储双活网关）在高可用存储系统环境中增加新的存储设备和主机设备不需要停机；</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（存储双活网关）控制器故障不能影响正常的I/O请求，I/O访问可以无中断的切换到其他控制器；</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（存储双活网关）本地存储（双活网关设备或者存储阵列）整体故障，主机无感知继续基于异地存储工作，无需切换动作。</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（存储双活网关）对双活复制的卷可以进行在线扩容</w:t>
            </w:r>
          </w:p>
        </w:tc>
      </w:tr>
      <w:tr>
        <w:tc>
          <w:tcPr>
            <w:tcW w:type="dxa" w:w="2769"/>
          </w:tcPr>
          <w:p>
            <w:pPr>
              <w:pStyle w:val="null5"/>
              <w:jc w:val="left"/>
            </w:pPr>
            <w:r>
              <w:rPr>
                <w:rFonts w:ascii="仿宋_GB2312" w:hAnsi="仿宋_GB2312" w:cs="仿宋_GB2312" w:eastAsia="仿宋_GB2312"/>
              </w:rPr>
              <w:t>59</w:t>
            </w:r>
          </w:p>
        </w:tc>
        <w:tc>
          <w:tcPr>
            <w:tcW w:type="dxa" w:w="2769"/>
          </w:tcPr>
          <w:p/>
        </w:tc>
        <w:tc>
          <w:tcPr>
            <w:tcW w:type="dxa" w:w="2769"/>
          </w:tcPr>
          <w:p>
            <w:pPr>
              <w:pStyle w:val="null5"/>
              <w:jc w:val="left"/>
            </w:pPr>
            <w:r>
              <w:rPr>
                <w:rFonts w:ascii="仿宋_GB2312" w:hAnsi="仿宋_GB2312" w:cs="仿宋_GB2312" w:eastAsia="仿宋_GB2312"/>
              </w:rPr>
              <w:t>（存储双活网关）支持在线调整（包括软、硬件升级、IO模块/风扇/电源/端口/控制器更换等操作</w:t>
            </w:r>
          </w:p>
        </w:tc>
      </w:tr>
      <w:tr>
        <w:tc>
          <w:tcPr>
            <w:tcW w:type="dxa" w:w="2769"/>
          </w:tcPr>
          <w:p>
            <w:pPr>
              <w:pStyle w:val="null5"/>
              <w:jc w:val="left"/>
            </w:pPr>
            <w:r>
              <w:rPr>
                <w:rFonts w:ascii="仿宋_GB2312" w:hAnsi="仿宋_GB2312" w:cs="仿宋_GB2312" w:eastAsia="仿宋_GB2312"/>
              </w:rPr>
              <w:t>60</w:t>
            </w:r>
          </w:p>
        </w:tc>
        <w:tc>
          <w:tcPr>
            <w:tcW w:type="dxa" w:w="2769"/>
          </w:tcPr>
          <w:p/>
        </w:tc>
        <w:tc>
          <w:tcPr>
            <w:tcW w:type="dxa" w:w="2769"/>
          </w:tcPr>
          <w:p>
            <w:pPr>
              <w:pStyle w:val="null5"/>
              <w:jc w:val="left"/>
            </w:pPr>
            <w:r>
              <w:rPr>
                <w:rFonts w:ascii="仿宋_GB2312" w:hAnsi="仿宋_GB2312" w:cs="仿宋_GB2312" w:eastAsia="仿宋_GB2312"/>
              </w:rPr>
              <w:t>（存储双活网关）提供专门的管理软件；</w:t>
            </w:r>
          </w:p>
        </w:tc>
      </w:tr>
      <w:tr>
        <w:tc>
          <w:tcPr>
            <w:tcW w:type="dxa" w:w="2769"/>
          </w:tcPr>
          <w:p>
            <w:pPr>
              <w:pStyle w:val="null5"/>
              <w:jc w:val="left"/>
            </w:pPr>
            <w:r>
              <w:rPr>
                <w:rFonts w:ascii="仿宋_GB2312" w:hAnsi="仿宋_GB2312" w:cs="仿宋_GB2312" w:eastAsia="仿宋_GB2312"/>
              </w:rPr>
              <w:t>61</w:t>
            </w:r>
          </w:p>
        </w:tc>
        <w:tc>
          <w:tcPr>
            <w:tcW w:type="dxa" w:w="2769"/>
          </w:tcPr>
          <w:p/>
        </w:tc>
        <w:tc>
          <w:tcPr>
            <w:tcW w:type="dxa" w:w="2769"/>
          </w:tcPr>
          <w:p>
            <w:pPr>
              <w:pStyle w:val="null5"/>
              <w:jc w:val="left"/>
            </w:pPr>
            <w:r>
              <w:rPr>
                <w:rFonts w:ascii="仿宋_GB2312" w:hAnsi="仿宋_GB2312" w:cs="仿宋_GB2312" w:eastAsia="仿宋_GB2312"/>
              </w:rPr>
              <w:t>（存储双活网关）支持图形化和命令方式的管理方式；</w:t>
            </w:r>
          </w:p>
        </w:tc>
      </w:tr>
      <w:tr>
        <w:tc>
          <w:tcPr>
            <w:tcW w:type="dxa" w:w="2769"/>
          </w:tcPr>
          <w:p>
            <w:pPr>
              <w:pStyle w:val="null5"/>
              <w:jc w:val="left"/>
            </w:pPr>
            <w:r>
              <w:rPr>
                <w:rFonts w:ascii="仿宋_GB2312" w:hAnsi="仿宋_GB2312" w:cs="仿宋_GB2312" w:eastAsia="仿宋_GB2312"/>
              </w:rPr>
              <w:t>62</w:t>
            </w:r>
          </w:p>
        </w:tc>
        <w:tc>
          <w:tcPr>
            <w:tcW w:type="dxa" w:w="2769"/>
          </w:tcPr>
          <w:p/>
        </w:tc>
        <w:tc>
          <w:tcPr>
            <w:tcW w:type="dxa" w:w="2769"/>
          </w:tcPr>
          <w:p>
            <w:pPr>
              <w:pStyle w:val="null5"/>
              <w:jc w:val="left"/>
            </w:pPr>
            <w:r>
              <w:rPr>
                <w:rFonts w:ascii="仿宋_GB2312" w:hAnsi="仿宋_GB2312" w:cs="仿宋_GB2312" w:eastAsia="仿宋_GB2312"/>
              </w:rPr>
              <w:t>（存储双活网关）支持封装卷的引导界面，封装过程要简单；</w:t>
            </w:r>
          </w:p>
        </w:tc>
      </w:tr>
      <w:tr>
        <w:tc>
          <w:tcPr>
            <w:tcW w:type="dxa" w:w="2769"/>
          </w:tcPr>
          <w:p>
            <w:pPr>
              <w:pStyle w:val="null5"/>
              <w:jc w:val="left"/>
            </w:pPr>
            <w:r>
              <w:rPr>
                <w:rFonts w:ascii="仿宋_GB2312" w:hAnsi="仿宋_GB2312" w:cs="仿宋_GB2312" w:eastAsia="仿宋_GB2312"/>
              </w:rPr>
              <w:t>63</w:t>
            </w:r>
          </w:p>
        </w:tc>
        <w:tc>
          <w:tcPr>
            <w:tcW w:type="dxa" w:w="2769"/>
          </w:tcPr>
          <w:p/>
        </w:tc>
        <w:tc>
          <w:tcPr>
            <w:tcW w:type="dxa" w:w="2769"/>
          </w:tcPr>
          <w:p>
            <w:pPr>
              <w:pStyle w:val="null5"/>
              <w:jc w:val="left"/>
            </w:pPr>
            <w:r>
              <w:rPr>
                <w:rFonts w:ascii="仿宋_GB2312" w:hAnsi="仿宋_GB2312" w:cs="仿宋_GB2312" w:eastAsia="仿宋_GB2312"/>
              </w:rPr>
              <w:t>（存储双活网关）提供性能监控和分析功能，不需要增加额外的软件。</w:t>
            </w:r>
          </w:p>
        </w:tc>
      </w:tr>
      <w:tr>
        <w:tc>
          <w:tcPr>
            <w:tcW w:type="dxa" w:w="2769"/>
          </w:tcPr>
          <w:p>
            <w:pPr>
              <w:pStyle w:val="null5"/>
              <w:jc w:val="left"/>
            </w:pPr>
            <w:r>
              <w:rPr>
                <w:rFonts w:ascii="仿宋_GB2312" w:hAnsi="仿宋_GB2312" w:cs="仿宋_GB2312" w:eastAsia="仿宋_GB2312"/>
              </w:rPr>
              <w:t>64</w:t>
            </w:r>
          </w:p>
        </w:tc>
        <w:tc>
          <w:tcPr>
            <w:tcW w:type="dxa" w:w="2769"/>
          </w:tcPr>
          <w:p/>
        </w:tc>
        <w:tc>
          <w:tcPr>
            <w:tcW w:type="dxa" w:w="2769"/>
          </w:tcPr>
          <w:p>
            <w:pPr>
              <w:pStyle w:val="null5"/>
              <w:jc w:val="left"/>
            </w:pPr>
            <w:r>
              <w:rPr>
                <w:rFonts w:ascii="仿宋_GB2312" w:hAnsi="仿宋_GB2312" w:cs="仿宋_GB2312" w:eastAsia="仿宋_GB2312"/>
              </w:rPr>
              <w:t>（存储双活网关）支持VMware ESX Stretched Clusters</w:t>
            </w:r>
          </w:p>
        </w:tc>
      </w:tr>
      <w:tr>
        <w:tc>
          <w:tcPr>
            <w:tcW w:type="dxa" w:w="2769"/>
          </w:tcPr>
          <w:p>
            <w:pPr>
              <w:pStyle w:val="null5"/>
              <w:jc w:val="left"/>
            </w:pPr>
            <w:r>
              <w:rPr>
                <w:rFonts w:ascii="仿宋_GB2312" w:hAnsi="仿宋_GB2312" w:cs="仿宋_GB2312" w:eastAsia="仿宋_GB2312"/>
              </w:rPr>
              <w:t>65</w:t>
            </w:r>
          </w:p>
        </w:tc>
        <w:tc>
          <w:tcPr>
            <w:tcW w:type="dxa" w:w="2769"/>
          </w:tcPr>
          <w:p/>
        </w:tc>
        <w:tc>
          <w:tcPr>
            <w:tcW w:type="dxa" w:w="2769"/>
          </w:tcPr>
          <w:p>
            <w:pPr>
              <w:pStyle w:val="null5"/>
              <w:jc w:val="left"/>
            </w:pPr>
            <w:r>
              <w:rPr>
                <w:rFonts w:ascii="仿宋_GB2312" w:hAnsi="仿宋_GB2312" w:cs="仿宋_GB2312" w:eastAsia="仿宋_GB2312"/>
              </w:rPr>
              <w:t>（存储双活网关）支持VMware ESX VMotion over Distance</w:t>
            </w:r>
          </w:p>
        </w:tc>
      </w:tr>
      <w:tr>
        <w:tc>
          <w:tcPr>
            <w:tcW w:type="dxa" w:w="2769"/>
          </w:tcPr>
          <w:p>
            <w:pPr>
              <w:pStyle w:val="null5"/>
              <w:jc w:val="left"/>
            </w:pPr>
            <w:r>
              <w:rPr>
                <w:rFonts w:ascii="仿宋_GB2312" w:hAnsi="仿宋_GB2312" w:cs="仿宋_GB2312" w:eastAsia="仿宋_GB2312"/>
              </w:rPr>
              <w:t>66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（存储双活网关）配置专有双活复制/存储虚拟化硬件控制器≥2个</w:t>
            </w:r>
          </w:p>
        </w:tc>
      </w:tr>
      <w:tr>
        <w:tc>
          <w:tcPr>
            <w:tcW w:type="dxa" w:w="2769"/>
          </w:tcPr>
          <w:p>
            <w:pPr>
              <w:pStyle w:val="null5"/>
              <w:jc w:val="left"/>
            </w:pPr>
            <w:r>
              <w:rPr>
                <w:rFonts w:ascii="仿宋_GB2312" w:hAnsi="仿宋_GB2312" w:cs="仿宋_GB2312" w:eastAsia="仿宋_GB2312"/>
              </w:rPr>
              <w:t>67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（存储双活网关）Active-Active的控制器架构，非ALUA架构，对于每一个卷来说所有控制器都是活跃的主控，每一个卷都可以同时通过所有控制器（≥2个）的前端口进行访问。提供证明材料。</w:t>
            </w:r>
          </w:p>
        </w:tc>
      </w:tr>
      <w:tr>
        <w:tc>
          <w:tcPr>
            <w:tcW w:type="dxa" w:w="2769"/>
          </w:tcPr>
          <w:p>
            <w:pPr>
              <w:pStyle w:val="null5"/>
              <w:jc w:val="left"/>
            </w:pPr>
            <w:r>
              <w:rPr>
                <w:rFonts w:ascii="仿宋_GB2312" w:hAnsi="仿宋_GB2312" w:cs="仿宋_GB2312" w:eastAsia="仿宋_GB2312"/>
              </w:rPr>
              <w:t>68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（存储双活网关）每控制器配置至少2颗 8核Intel处理器</w:t>
            </w:r>
          </w:p>
        </w:tc>
      </w:tr>
      <w:tr>
        <w:tc>
          <w:tcPr>
            <w:tcW w:type="dxa" w:w="2769"/>
          </w:tcPr>
          <w:p>
            <w:pPr>
              <w:pStyle w:val="null5"/>
              <w:jc w:val="left"/>
            </w:pPr>
            <w:r>
              <w:rPr>
                <w:rFonts w:ascii="仿宋_GB2312" w:hAnsi="仿宋_GB2312" w:cs="仿宋_GB2312" w:eastAsia="仿宋_GB2312"/>
              </w:rPr>
              <w:t>69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（存储双活网关）配置内存≥128 GB</w:t>
            </w:r>
          </w:p>
        </w:tc>
      </w:tr>
      <w:tr>
        <w:tc>
          <w:tcPr>
            <w:tcW w:type="dxa" w:w="2769"/>
          </w:tcPr>
          <w:p>
            <w:pPr>
              <w:pStyle w:val="null5"/>
              <w:jc w:val="left"/>
            </w:pPr>
            <w:r>
              <w:rPr>
                <w:rFonts w:ascii="仿宋_GB2312" w:hAnsi="仿宋_GB2312" w:cs="仿宋_GB2312" w:eastAsia="仿宋_GB2312"/>
              </w:rPr>
              <w:t>70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（存储双活网关）在异常断电情况下，必须保证不能出现数据丢失的情况，保证数据的高可用性及一致性；</w:t>
            </w:r>
          </w:p>
        </w:tc>
      </w:tr>
      <w:tr>
        <w:tc>
          <w:tcPr>
            <w:tcW w:type="dxa" w:w="2769"/>
          </w:tcPr>
          <w:p>
            <w:pPr>
              <w:pStyle w:val="null5"/>
              <w:jc w:val="left"/>
            </w:pPr>
            <w:r>
              <w:rPr>
                <w:rFonts w:ascii="仿宋_GB2312" w:hAnsi="仿宋_GB2312" w:cs="仿宋_GB2312" w:eastAsia="仿宋_GB2312"/>
              </w:rPr>
              <w:t>71</w:t>
            </w:r>
          </w:p>
        </w:tc>
        <w:tc>
          <w:tcPr>
            <w:tcW w:type="dxa" w:w="2769"/>
          </w:tcPr>
          <w:p/>
        </w:tc>
        <w:tc>
          <w:tcPr>
            <w:tcW w:type="dxa" w:w="2769"/>
          </w:tcPr>
          <w:p>
            <w:pPr>
              <w:pStyle w:val="null5"/>
              <w:jc w:val="left"/>
            </w:pPr>
            <w:r>
              <w:rPr>
                <w:rFonts w:ascii="仿宋_GB2312" w:hAnsi="仿宋_GB2312" w:cs="仿宋_GB2312" w:eastAsia="仿宋_GB2312"/>
              </w:rPr>
              <w:t>（存储双活网关）最大支持的虚拟卷容量为64TB；</w:t>
            </w:r>
          </w:p>
        </w:tc>
      </w:tr>
      <w:tr>
        <w:tc>
          <w:tcPr>
            <w:tcW w:type="dxa" w:w="2769"/>
          </w:tcPr>
          <w:p>
            <w:pPr>
              <w:pStyle w:val="null5"/>
              <w:jc w:val="left"/>
            </w:pPr>
            <w:r>
              <w:rPr>
                <w:rFonts w:ascii="仿宋_GB2312" w:hAnsi="仿宋_GB2312" w:cs="仿宋_GB2312" w:eastAsia="仿宋_GB2312"/>
              </w:rPr>
              <w:t>72</w:t>
            </w:r>
          </w:p>
        </w:tc>
        <w:tc>
          <w:tcPr>
            <w:tcW w:type="dxa" w:w="2769"/>
          </w:tcPr>
          <w:p/>
        </w:tc>
        <w:tc>
          <w:tcPr>
            <w:tcW w:type="dxa" w:w="2769"/>
          </w:tcPr>
          <w:p>
            <w:pPr>
              <w:pStyle w:val="null5"/>
              <w:jc w:val="left"/>
            </w:pPr>
            <w:r>
              <w:rPr>
                <w:rFonts w:ascii="仿宋_GB2312" w:hAnsi="仿宋_GB2312" w:cs="仿宋_GB2312" w:eastAsia="仿宋_GB2312"/>
              </w:rPr>
              <w:t>（存储双活网关）单集群支持不低于10000个LUN；</w:t>
            </w:r>
          </w:p>
        </w:tc>
      </w:tr>
      <w:tr>
        <w:tc>
          <w:tcPr>
            <w:tcW w:type="dxa" w:w="2769"/>
          </w:tcPr>
          <w:p>
            <w:pPr>
              <w:pStyle w:val="null5"/>
              <w:jc w:val="left"/>
            </w:pPr>
            <w:r>
              <w:rPr>
                <w:rFonts w:ascii="仿宋_GB2312" w:hAnsi="仿宋_GB2312" w:cs="仿宋_GB2312" w:eastAsia="仿宋_GB2312"/>
              </w:rPr>
              <w:t>73</w:t>
            </w:r>
          </w:p>
        </w:tc>
        <w:tc>
          <w:tcPr>
            <w:tcW w:type="dxa" w:w="2769"/>
          </w:tcPr>
          <w:p/>
        </w:tc>
        <w:tc>
          <w:tcPr>
            <w:tcW w:type="dxa" w:w="2769"/>
          </w:tcPr>
          <w:p>
            <w:pPr>
              <w:pStyle w:val="null5"/>
              <w:jc w:val="left"/>
            </w:pPr>
            <w:r>
              <w:rPr>
                <w:rFonts w:ascii="仿宋_GB2312" w:hAnsi="仿宋_GB2312" w:cs="仿宋_GB2312" w:eastAsia="仿宋_GB2312"/>
              </w:rPr>
              <w:t>（存储双活网关）双集群支持不低于20000个LUN，8000个双活LUN；</w:t>
            </w:r>
          </w:p>
        </w:tc>
      </w:tr>
      <w:tr>
        <w:tc>
          <w:tcPr>
            <w:tcW w:type="dxa" w:w="2769"/>
          </w:tcPr>
          <w:p>
            <w:pPr>
              <w:pStyle w:val="null5"/>
              <w:jc w:val="left"/>
            </w:pPr>
            <w:r>
              <w:rPr>
                <w:rFonts w:ascii="仿宋_GB2312" w:hAnsi="仿宋_GB2312" w:cs="仿宋_GB2312" w:eastAsia="仿宋_GB2312"/>
              </w:rPr>
              <w:t>74</w:t>
            </w:r>
          </w:p>
        </w:tc>
        <w:tc>
          <w:tcPr>
            <w:tcW w:type="dxa" w:w="2769"/>
          </w:tcPr>
          <w:p/>
        </w:tc>
        <w:tc>
          <w:tcPr>
            <w:tcW w:type="dxa" w:w="2769"/>
          </w:tcPr>
          <w:p>
            <w:pPr>
              <w:pStyle w:val="null5"/>
              <w:jc w:val="left"/>
            </w:pPr>
            <w:r>
              <w:rPr>
                <w:rFonts w:ascii="仿宋_GB2312" w:hAnsi="仿宋_GB2312" w:cs="仿宋_GB2312" w:eastAsia="仿宋_GB2312"/>
              </w:rPr>
              <w:t>（存储双活网关）配置FC端口数量为≥8个；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含光模块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75</w:t>
            </w:r>
          </w:p>
        </w:tc>
        <w:tc>
          <w:tcPr>
            <w:tcW w:type="dxa" w:w="2769"/>
          </w:tcPr>
          <w:p/>
        </w:tc>
        <w:tc>
          <w:tcPr>
            <w:tcW w:type="dxa" w:w="2769"/>
          </w:tcPr>
          <w:p>
            <w:pPr>
              <w:pStyle w:val="null5"/>
              <w:jc w:val="left"/>
            </w:pPr>
            <w:r>
              <w:rPr>
                <w:rFonts w:ascii="仿宋_GB2312" w:hAnsi="仿宋_GB2312" w:cs="仿宋_GB2312" w:eastAsia="仿宋_GB2312"/>
              </w:rPr>
              <w:t>（存储双活网关）FC端口要求为32 Gbp/s速率；</w:t>
            </w:r>
          </w:p>
        </w:tc>
      </w:tr>
      <w:tr>
        <w:tc>
          <w:tcPr>
            <w:tcW w:type="dxa" w:w="2769"/>
          </w:tcPr>
          <w:p>
            <w:pPr>
              <w:pStyle w:val="null5"/>
              <w:jc w:val="left"/>
            </w:pPr>
            <w:r>
              <w:rPr>
                <w:rFonts w:ascii="仿宋_GB2312" w:hAnsi="仿宋_GB2312" w:cs="仿宋_GB2312" w:eastAsia="仿宋_GB2312"/>
              </w:rPr>
              <w:t>76</w:t>
            </w:r>
          </w:p>
        </w:tc>
        <w:tc>
          <w:tcPr>
            <w:tcW w:type="dxa" w:w="2769"/>
          </w:tcPr>
          <w:p/>
        </w:tc>
        <w:tc>
          <w:tcPr>
            <w:tcW w:type="dxa" w:w="2769"/>
          </w:tcPr>
          <w:p>
            <w:pPr>
              <w:pStyle w:val="null5"/>
              <w:jc w:val="left"/>
            </w:pPr>
            <w:r>
              <w:rPr>
                <w:rFonts w:ascii="仿宋_GB2312" w:hAnsi="仿宋_GB2312" w:cs="仿宋_GB2312" w:eastAsia="仿宋_GB2312"/>
              </w:rPr>
              <w:t>（存储双活网关）支持主流的OS多路径管理软件：VMware NMP；MPIO等；</w:t>
            </w:r>
          </w:p>
        </w:tc>
      </w:tr>
      <w:tr>
        <w:tc>
          <w:tcPr>
            <w:tcW w:type="dxa" w:w="2769"/>
          </w:tcPr>
          <w:p>
            <w:pPr>
              <w:pStyle w:val="null5"/>
              <w:jc w:val="left"/>
            </w:pPr>
            <w:r>
              <w:rPr>
                <w:rFonts w:ascii="仿宋_GB2312" w:hAnsi="仿宋_GB2312" w:cs="仿宋_GB2312" w:eastAsia="仿宋_GB2312"/>
              </w:rPr>
              <w:t>77</w:t>
            </w:r>
          </w:p>
        </w:tc>
        <w:tc>
          <w:tcPr>
            <w:tcW w:type="dxa" w:w="2769"/>
          </w:tcPr>
          <w:p/>
        </w:tc>
        <w:tc>
          <w:tcPr>
            <w:tcW w:type="dxa" w:w="2769"/>
          </w:tcPr>
          <w:p>
            <w:pPr>
              <w:pStyle w:val="null5"/>
              <w:jc w:val="left"/>
            </w:pPr>
            <w:r>
              <w:rPr>
                <w:rFonts w:ascii="仿宋_GB2312" w:hAnsi="仿宋_GB2312" w:cs="仿宋_GB2312" w:eastAsia="仿宋_GB2312"/>
              </w:rPr>
              <w:t>（存储双活网关）内建管理服务器用作虚拟化产品的管理；</w:t>
            </w:r>
          </w:p>
        </w:tc>
      </w:tr>
      <w:tr>
        <w:tc>
          <w:tcPr>
            <w:tcW w:type="dxa" w:w="2769"/>
          </w:tcPr>
          <w:p>
            <w:pPr>
              <w:pStyle w:val="null5"/>
              <w:jc w:val="left"/>
            </w:pPr>
            <w:r>
              <w:rPr>
                <w:rFonts w:ascii="仿宋_GB2312" w:hAnsi="仿宋_GB2312" w:cs="仿宋_GB2312" w:eastAsia="仿宋_GB2312"/>
              </w:rPr>
              <w:t>78</w:t>
            </w:r>
          </w:p>
        </w:tc>
        <w:tc>
          <w:tcPr>
            <w:tcW w:type="dxa" w:w="2769"/>
          </w:tcPr>
          <w:p/>
        </w:tc>
        <w:tc>
          <w:tcPr>
            <w:tcW w:type="dxa" w:w="2769"/>
          </w:tcPr>
          <w:p>
            <w:pPr>
              <w:pStyle w:val="null5"/>
              <w:jc w:val="left"/>
            </w:pPr>
            <w:r>
              <w:rPr>
                <w:rFonts w:ascii="仿宋_GB2312" w:hAnsi="仿宋_GB2312" w:cs="仿宋_GB2312" w:eastAsia="仿宋_GB2312"/>
              </w:rPr>
              <w:t>（存储双活网关）管理服务器可以跨集群进行管理；</w:t>
            </w:r>
          </w:p>
        </w:tc>
      </w:tr>
      <w:tr>
        <w:tc>
          <w:tcPr>
            <w:tcW w:type="dxa" w:w="2769"/>
          </w:tcPr>
          <w:p>
            <w:pPr>
              <w:pStyle w:val="null5"/>
              <w:jc w:val="left"/>
            </w:pPr>
            <w:r>
              <w:rPr>
                <w:rFonts w:ascii="仿宋_GB2312" w:hAnsi="仿宋_GB2312" w:cs="仿宋_GB2312" w:eastAsia="仿宋_GB2312"/>
              </w:rPr>
              <w:t>79</w:t>
            </w:r>
          </w:p>
        </w:tc>
        <w:tc>
          <w:tcPr>
            <w:tcW w:type="dxa" w:w="2769"/>
          </w:tcPr>
          <w:p/>
        </w:tc>
        <w:tc>
          <w:tcPr>
            <w:tcW w:type="dxa" w:w="2769"/>
          </w:tcPr>
          <w:p>
            <w:pPr>
              <w:pStyle w:val="null5"/>
              <w:jc w:val="left"/>
            </w:pPr>
            <w:r>
              <w:rPr>
                <w:rFonts w:ascii="仿宋_GB2312" w:hAnsi="仿宋_GB2312" w:cs="仿宋_GB2312" w:eastAsia="仿宋_GB2312"/>
              </w:rPr>
              <w:t>（存储双活网关）支持主流操作系统环境：ESXi, Linux, Windows；</w:t>
            </w:r>
          </w:p>
        </w:tc>
      </w:tr>
      <w:tr>
        <w:tc>
          <w:tcPr>
            <w:tcW w:type="dxa" w:w="2769"/>
          </w:tcPr>
          <w:p>
            <w:pPr>
              <w:pStyle w:val="null5"/>
              <w:jc w:val="left"/>
            </w:pPr>
            <w:r>
              <w:rPr>
                <w:rFonts w:ascii="仿宋_GB2312" w:hAnsi="仿宋_GB2312" w:cs="仿宋_GB2312" w:eastAsia="仿宋_GB2312"/>
              </w:rPr>
              <w:t>80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w:t>
            </w:r>
            <w:r>
              <w:rPr>
                <w:rFonts w:ascii="仿宋_GB2312" w:hAnsi="仿宋_GB2312" w:cs="仿宋_GB2312" w:eastAsia="仿宋_GB2312"/>
                <w:sz w:val="21"/>
                <w:color w:val="000000"/>
              </w:rPr>
              <w:t>为了统一管理维护，投标供应商需提供所投产品与现有</w:t>
            </w:r>
            <w:r>
              <w:rPr>
                <w:rFonts w:ascii="仿宋_GB2312" w:hAnsi="仿宋_GB2312" w:cs="仿宋_GB2312" w:eastAsia="仿宋_GB2312"/>
                <w:sz w:val="21"/>
                <w:color w:val="000000"/>
              </w:rPr>
              <w:t>EMC</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U</w:t>
            </w:r>
            <w:r>
              <w:rPr>
                <w:rFonts w:ascii="仿宋_GB2312" w:hAnsi="仿宋_GB2312" w:cs="仿宋_GB2312" w:eastAsia="仿宋_GB2312"/>
                <w:sz w:val="21"/>
                <w:color w:val="000000"/>
              </w:rPr>
              <w:t>n</w:t>
            </w:r>
            <w:r>
              <w:rPr>
                <w:rFonts w:ascii="仿宋_GB2312" w:hAnsi="仿宋_GB2312" w:cs="仿宋_GB2312" w:eastAsia="仿宋_GB2312"/>
                <w:sz w:val="21"/>
                <w:color w:val="000000"/>
              </w:rPr>
              <w:t>i</w:t>
            </w:r>
            <w:r>
              <w:rPr>
                <w:rFonts w:ascii="仿宋_GB2312" w:hAnsi="仿宋_GB2312" w:cs="仿宋_GB2312" w:eastAsia="仿宋_GB2312"/>
                <w:sz w:val="21"/>
                <w:color w:val="000000"/>
              </w:rPr>
              <w:t>t</w:t>
            </w:r>
            <w:r>
              <w:rPr>
                <w:rFonts w:ascii="仿宋_GB2312" w:hAnsi="仿宋_GB2312" w:cs="仿宋_GB2312" w:eastAsia="仿宋_GB2312"/>
                <w:sz w:val="21"/>
                <w:color w:val="000000"/>
              </w:rPr>
              <w:t>y</w:t>
            </w:r>
            <w:r>
              <w:rPr>
                <w:rFonts w:ascii="仿宋_GB2312" w:hAnsi="仿宋_GB2312" w:cs="仿宋_GB2312" w:eastAsia="仿宋_GB2312"/>
                <w:sz w:val="21"/>
                <w:color w:val="000000"/>
              </w:rPr>
              <w:t>系列</w:t>
            </w:r>
            <w:r>
              <w:rPr>
                <w:rFonts w:ascii="仿宋_GB2312" w:hAnsi="仿宋_GB2312" w:cs="仿宋_GB2312" w:eastAsia="仿宋_GB2312"/>
                <w:sz w:val="21"/>
                <w:color w:val="000000"/>
              </w:rPr>
              <w:t>存储系</w:t>
            </w:r>
            <w:r>
              <w:rPr>
                <w:rFonts w:ascii="仿宋_GB2312" w:hAnsi="仿宋_GB2312" w:cs="仿宋_GB2312" w:eastAsia="仿宋_GB2312"/>
                <w:sz w:val="21"/>
                <w:color w:val="000000"/>
              </w:rPr>
              <w:t>统的无逢对接承诺函</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81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（存储双活网关）</w:t>
            </w:r>
            <w:r>
              <w:rPr>
                <w:rFonts w:ascii="仿宋_GB2312" w:hAnsi="仿宋_GB2312" w:cs="仿宋_GB2312" w:eastAsia="仿宋_GB2312"/>
                <w:sz w:val="21"/>
                <w:color w:val="000000"/>
              </w:rPr>
              <w:t>为了统一管理维护，需兼容现有的运维软件</w:t>
            </w:r>
            <w:r>
              <w:rPr>
                <w:rFonts w:ascii="仿宋_GB2312" w:hAnsi="仿宋_GB2312" w:cs="仿宋_GB2312" w:eastAsia="仿宋_GB2312"/>
                <w:sz w:val="21"/>
                <w:color w:val="000000"/>
              </w:rPr>
              <w:t>（</w:t>
            </w:r>
            <w:r>
              <w:rPr>
                <w:rFonts w:ascii="仿宋_GB2312" w:hAnsi="仿宋_GB2312" w:cs="仿宋_GB2312" w:eastAsia="仿宋_GB2312"/>
                <w:sz w:val="21"/>
                <w:color w:val="000000"/>
              </w:rPr>
              <w:t>诸葛运帷</w:t>
            </w:r>
            <w:r>
              <w:rPr>
                <w:rFonts w:ascii="仿宋_GB2312" w:hAnsi="仿宋_GB2312" w:cs="仿宋_GB2312" w:eastAsia="仿宋_GB2312"/>
                <w:sz w:val="21"/>
                <w:color w:val="000000"/>
              </w:rPr>
              <w:t>）</w:t>
            </w:r>
            <w:r>
              <w:rPr>
                <w:rFonts w:ascii="仿宋_GB2312" w:hAnsi="仿宋_GB2312" w:cs="仿宋_GB2312" w:eastAsia="仿宋_GB2312"/>
                <w:sz w:val="21"/>
                <w:color w:val="000000"/>
              </w:rPr>
              <w:t>，可以和现在的运</w:t>
            </w:r>
            <w:r>
              <w:rPr>
                <w:rFonts w:ascii="仿宋_GB2312" w:hAnsi="仿宋_GB2312" w:cs="仿宋_GB2312" w:eastAsia="仿宋_GB2312"/>
                <w:sz w:val="21"/>
                <w:color w:val="000000"/>
              </w:rPr>
              <w:t>维软件无缝对接，统一管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需提供运维软件公司的兼容证明或承诺函</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82</w:t>
            </w:r>
          </w:p>
        </w:tc>
        <w:tc>
          <w:tcPr>
            <w:tcW w:type="dxa" w:w="2769"/>
          </w:tcPr>
          <w:p/>
        </w:tc>
        <w:tc>
          <w:tcPr>
            <w:tcW w:type="dxa" w:w="2769"/>
          </w:tcPr>
          <w:p>
            <w:pPr>
              <w:pStyle w:val="null5"/>
              <w:jc w:val="left"/>
            </w:pPr>
            <w:r>
              <w:rPr>
                <w:rFonts w:ascii="仿宋_GB2312" w:hAnsi="仿宋_GB2312" w:cs="仿宋_GB2312" w:eastAsia="仿宋_GB2312"/>
              </w:rPr>
              <w:t>（存储双活网关）提供所投软硬件产品3年每周7×24小时原厂上门保修服务；3年内提供软硬件维修服务、免费更换故障配件、升级系统版本等服务。</w:t>
            </w:r>
          </w:p>
        </w:tc>
      </w:tr>
    </w:tbl>
    <w:p>
      <w:pPr>
        <w:pStyle w:val="null5"/>
        <w:jc w:val="left"/>
      </w:pPr>
      <w:r>
        <w:rPr>
          <w:rFonts w:ascii="仿宋_GB2312" w:hAnsi="仿宋_GB2312" w:cs="仿宋_GB2312" w:eastAsia="仿宋_GB2312"/>
        </w:rPr>
        <w:t>标的名称：PDA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处理器：≥八核2.0GHz高性能处理器，提供网站截图或产品彩页说明书</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操作系统：Android 9.0及以上，提供网站截图或产品彩页说明书</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存储器：≥2GB RAM，≥16GB ROM，最高可拓展至32GB ROM</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显示：屏幕≥4.5英寸，≤4.8英寸IPS，分辨率：≥1280×720</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触摸：工业级电容触控屏，可戴手套作业</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键盘：至少包含3个扫描按键，有实体的Home键、菜单键及返回按键</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电池容量及更换：≥ 3600mAh ，可不借助其他工具自行拆卸和更换</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音频：内置麦克风/Micro USB/耳机接头</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提示：振动提示/LED提示/音频提示</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震动马达：内置震动马达</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传感器：重力传感器</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重量：≤230g（含电池）</w:t>
            </w:r>
          </w:p>
        </w:tc>
      </w:tr>
      <w:tr>
        <w:tc>
          <w:tcPr>
            <w:tcW w:type="dxa" w:w="2769"/>
          </w:tcPr>
          <w:p>
            <w:pPr>
              <w:pStyle w:val="null5"/>
              <w:jc w:val="left"/>
            </w:pPr>
            <w:r>
              <w:rPr>
                <w:rFonts w:ascii="仿宋_GB2312" w:hAnsi="仿宋_GB2312" w:cs="仿宋_GB2312" w:eastAsia="仿宋_GB2312"/>
              </w:rPr>
              <w:t>13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医疗专用外壳：外壳采用抗菌材料，具有防滑设计，可酒精擦拭，消毒，非金属后盖，提供抗菌认证相关报告</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工作温度：-10°C ~ 50°</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存储温度：-20°C ~ 60°</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静电放电：±15kV空气放电，±8kV直接放电</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湿度：0 ~ 95% (无结露)</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抗摔强度：可经受多次从1.2米到水泥地面的跌落</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防护等级：≥IP65</w:t>
            </w:r>
          </w:p>
        </w:tc>
      </w:tr>
      <w:tr>
        <w:tc>
          <w:tcPr>
            <w:tcW w:type="dxa" w:w="2769"/>
          </w:tcPr>
          <w:p>
            <w:pPr>
              <w:pStyle w:val="null5"/>
              <w:jc w:val="left"/>
            </w:pPr>
            <w:r>
              <w:rPr>
                <w:rFonts w:ascii="仿宋_GB2312" w:hAnsi="仿宋_GB2312" w:cs="仿宋_GB2312" w:eastAsia="仿宋_GB2312"/>
              </w:rPr>
              <w:t>20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条码引擎：支持国际通用的一维条码与二维条码，使用软解码引擎</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定位/导航：内置GPS，支持AGPS（或者支持北斗定位）</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网络制式：全网通4G</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WLAN：802.11a/b/g/n/r/ac ，采用2.4G+真5G双频Wi-Fi设计，同时支持5G PA放大功能</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无线广域网络 （网络频率）</w:t>
            </w:r>
          </w:p>
        </w:tc>
      </w:tr>
      <w:tr>
        <w:tc>
          <w:tcPr>
            <w:tcW w:type="dxa" w:w="2769"/>
          </w:tcPr>
          <w:p>
            <w:pPr>
              <w:pStyle w:val="null5"/>
              <w:jc w:val="left"/>
            </w:pPr>
            <w:r>
              <w:rPr>
                <w:rFonts w:ascii="仿宋_GB2312" w:hAnsi="仿宋_GB2312" w:cs="仿宋_GB2312" w:eastAsia="仿宋_GB2312"/>
              </w:rPr>
              <w:t>25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兼容性要求：设备需完整兼容我院现</w:t>
            </w:r>
            <w:r>
              <w:rPr>
                <w:rFonts w:ascii="仿宋_GB2312" w:hAnsi="仿宋_GB2312" w:cs="仿宋_GB2312" w:eastAsia="仿宋_GB2312"/>
                <w:sz w:val="21"/>
                <w:color w:val="000000"/>
              </w:rPr>
              <w:t>有</w:t>
            </w:r>
            <w:r>
              <w:rPr>
                <w:rFonts w:ascii="仿宋_GB2312" w:hAnsi="仿宋_GB2312" w:cs="仿宋_GB2312" w:eastAsia="仿宋_GB2312"/>
                <w:sz w:val="21"/>
                <w:color w:val="000000"/>
              </w:rPr>
              <w:t>信息系统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移动护理</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急诊急救</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标的名称：签字板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手写签名采集：通过显示屏采集签名笔迹；</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指纹采集：集成指纹采集模块；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电源：USB总线供电；</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扩展：支持USB扩展，如二代身份证读取；</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内置密码芯片，支持国产密码算法；</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加密模块：支持整机芯片级加密，支持国密算法；</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兼容性：windows XP/vista/win7</w:t>
            </w:r>
            <w:r>
              <w:rPr>
                <w:rFonts w:ascii="仿宋_GB2312" w:hAnsi="仿宋_GB2312" w:cs="仿宋_GB2312" w:eastAsia="仿宋_GB2312"/>
                <w:sz w:val="21"/>
                <w:color w:val="000000"/>
              </w:rPr>
              <w:t>/</w:t>
            </w:r>
            <w:r>
              <w:rPr>
                <w:rFonts w:ascii="仿宋_GB2312" w:hAnsi="仿宋_GB2312" w:cs="仿宋_GB2312" w:eastAsia="仿宋_GB2312"/>
                <w:sz w:val="21"/>
                <w:color w:val="000000"/>
              </w:rPr>
              <w:t>win</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w:t>
            </w:r>
            <w:r>
              <w:rPr>
                <w:rFonts w:ascii="仿宋_GB2312" w:hAnsi="仿宋_GB2312" w:cs="仿宋_GB2312" w:eastAsia="仿宋_GB2312"/>
                <w:sz w:val="21"/>
                <w:color w:val="000000"/>
              </w:rPr>
              <w:t>in</w:t>
            </w:r>
            <w:r>
              <w:rPr>
                <w:rFonts w:ascii="仿宋_GB2312" w:hAnsi="仿宋_GB2312" w:cs="仿宋_GB2312" w:eastAsia="仿宋_GB2312"/>
                <w:sz w:val="21"/>
                <w:color w:val="000000"/>
              </w:rPr>
              <w:t>11</w:t>
            </w:r>
            <w:r>
              <w:rPr>
                <w:rFonts w:ascii="仿宋_GB2312" w:hAnsi="仿宋_GB2312" w:cs="仿宋_GB2312" w:eastAsia="仿宋_GB2312"/>
              </w:rPr>
              <w:t>；</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屏显区域：≥10.0寸，分辨率≥1280 x 800，电磁响应；</w:t>
            </w: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指纹采集：光学指纹采集，图象分辨率</w:t>
            </w:r>
            <w:r>
              <w:rPr>
                <w:rFonts w:ascii="仿宋_GB2312" w:hAnsi="仿宋_GB2312" w:cs="仿宋_GB2312" w:eastAsia="仿宋_GB2312"/>
                <w:sz w:val="21"/>
                <w:color w:val="000000"/>
              </w:rPr>
              <w:t>≥</w:t>
            </w:r>
            <w:r>
              <w:rPr>
                <w:rFonts w:ascii="仿宋_GB2312" w:hAnsi="仿宋_GB2312" w:cs="仿宋_GB2312" w:eastAsia="仿宋_GB2312"/>
              </w:rPr>
              <w:t>500DPI，指纹比对1：1、1：N；</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支持数字签名密码算法；</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支持终端进行数据传输时，传输数据可采用加密+签名的技术</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电子签名压感≥2048</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最高读取速率≥220点/秒</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电磁笔：无源电磁笔</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连接方式：USB连接</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USB速度：≥800KB/S</w:t>
            </w:r>
          </w:p>
        </w:tc>
      </w:tr>
      <w:tr>
        <w:tc>
          <w:tcPr>
            <w:tcW w:type="dxa" w:w="2769"/>
          </w:tcPr>
          <w:p>
            <w:pPr>
              <w:pStyle w:val="null5"/>
              <w:jc w:val="left"/>
            </w:pPr>
            <w:r>
              <w:rPr>
                <w:rFonts w:ascii="仿宋_GB2312" w:hAnsi="仿宋_GB2312" w:cs="仿宋_GB2312" w:eastAsia="仿宋_GB2312"/>
              </w:rPr>
              <w:t>17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兼容性要求：设备需完整兼容我院现使用的数字认证技术的信息系统。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北京</w:t>
            </w:r>
            <w:r>
              <w:rPr>
                <w:rFonts w:ascii="仿宋_GB2312" w:hAnsi="仿宋_GB2312" w:cs="仿宋_GB2312" w:eastAsia="仿宋_GB2312"/>
                <w:sz w:val="21"/>
                <w:color w:val="000000"/>
              </w:rPr>
              <w:t>CA</w:t>
            </w:r>
            <w:r>
              <w:rPr>
                <w:rFonts w:ascii="仿宋_GB2312" w:hAnsi="仿宋_GB2312" w:cs="仿宋_GB2312" w:eastAsia="仿宋_GB2312"/>
                <w:sz w:val="21"/>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产品技术性能、参数的响应情况</w:t>
            </w:r>
          </w:p>
        </w:tc>
        <w:tc>
          <w:tcPr>
            <w:tcW w:type="dxa" w:w="3115"/>
          </w:tcPr>
          <w:p>
            <w:pPr>
              <w:pStyle w:val="null5"/>
              <w:jc w:val="left"/>
            </w:pPr>
            <w:r>
              <w:rPr>
                <w:rFonts w:ascii="仿宋_GB2312" w:hAnsi="仿宋_GB2312" w:cs="仿宋_GB2312" w:eastAsia="仿宋_GB2312"/>
              </w:rPr>
              <w:t>根据所投产品技术参数的详细描述及佐证材料等进行评审。标注“★”技术参数每有一项负偏离或不满足的按无效投标处理；标注“▲”技术参数每有一项负偏离或不满足的，扣 2 分；其他技术参数及佐证材料每有一项负偏离或不满足的，扣 1 分； 扣完 30 分为止。（注:为防止误评或漏评,投标人应在其技术规格响应表中写明佐证材料（产品手册、参数说明、检测报告或宣传彩页等）的名称、页码，并使用下划线、文本框等方式加以明显标记，否则评标委员会有理由认为该技术参数不满足招标文件要求）</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根据投标人提供的质量保证措施进行评审：包括但不限于项目实施过程中，在进度响应采购要求的情况下，如何保障项目 质量的措施；对项目实施过程中可能遇到的难点、风 险作出预测，并提出质量保证措施。供货质量的保障 措施全面，难点、风险预测准确，质量保证措施完善 的得12分；项目质量的保障措施较全面，难点、风险 预测较准确，质量保证措施较完善的得11分；项目质 量的保障措施基本全面，难点、风险预测基本准确， 质量保证措施基本完善的得6分；项目质量的保障措施 不全面，难点、风险预测不准确，质量保证措施不完 善的得3分，未提供不得分。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安装调试及培训方案</w:t>
            </w:r>
          </w:p>
        </w:tc>
        <w:tc>
          <w:tcPr>
            <w:tcW w:type="dxa" w:w="3115"/>
          </w:tcPr>
          <w:p>
            <w:pPr>
              <w:pStyle w:val="null5"/>
              <w:jc w:val="left"/>
            </w:pPr>
            <w:r>
              <w:rPr>
                <w:rFonts w:ascii="仿宋_GB2312" w:hAnsi="仿宋_GB2312" w:cs="仿宋_GB2312" w:eastAsia="仿宋_GB2312"/>
              </w:rPr>
              <w:t>据投标人提供的安装调试及培训方案进行评审：安装调试及培训方案措施全面，难点、风险预测准确，安装调试及培训方案完善的得12分；安装调试及培训方案较全面，风险预测较准确，安装调试及培训方案较完善的得11分；安装调试及培训方案基本全面，风险预测基本准确，安装调试及培训方案基本完善的得6分；安装调试及培训方案不全面，风险预测不准确，安装调试及培训方案不完善的得3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投标人须根据本项目实际情况，制定详细的售后服务 方案： 售后服务承诺全面具体，售后服务体系完善，售后服务内容详细具体，问题解决方案全面具体，有专业 的售后服务团队、专业知识强、售后服务响应及时且 承诺 7*24 小时响应，方案全面合理的得10分；售后 服务承诺较为全面具体，售后服务体系较完善，售后 服务内容较详细具体，问题解决方案较全面具体，售 后服务响应时间较为及时、方案较全面的得9分；有 最完善的售后服务方案架构、内容基本符合项目情况 的，得6分；有最基本的售后服务方案架构、内容不 符合项目情况的，得3分，未提供不得分。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根据近三年（2022年1月1日至投标截止之日）类似项目业绩进行评审。 每提供一项业绩得2分，本项最多得6分。（响应文件中须提供合同原件的扫描件作为证明文件，以合同签订时间为准）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