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赤峰高新技术产业开发区元宝山产业园控制性详细规划编制及详细规划成果入库项目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赤峰高新技术产业开发区元宝山产业园管理办公室</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内蒙古权衡建设项目管理有限公司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CFZCYBS-C-F-250012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内蒙古权衡建设项目管理有限公司</w:t>
      </w:r>
      <w:r>
        <w:rPr>
          <w:rFonts w:ascii="仿宋_GB2312" w:hAnsi="仿宋_GB2312" w:cs="仿宋_GB2312" w:eastAsia="仿宋_GB2312"/>
        </w:rPr>
        <w:t xml:space="preserve"> 受 </w:t>
      </w:r>
      <w:r>
        <w:rPr>
          <w:rFonts w:ascii="仿宋_GB2312" w:hAnsi="仿宋_GB2312" w:cs="仿宋_GB2312" w:eastAsia="仿宋_GB2312"/>
        </w:rPr>
        <w:t>赤峰高新技术产业开发区元宝山产业园管理办公室</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赤峰高新技术产业开发区元宝山产业园控制性详细规划编制及详细规划成果入库项目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赤峰高新技术产业开发区元宝山产业园控制性详细规划编制及详细规划成果入库项目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CFZCYBS-C-F-250012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赤政采计划[2025]元宝00040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2,091,200.00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赤峰高新技术产业开发区元宝山产业园控制性详细规划编制及详细规划成果入库项目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2,091,200.00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1、特殊资格审查：供应商须同时具备行业主管部门核发的城乡规划编制乙级资质及测绘乙级以上（含乙级）资质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内蒙古权衡建设项目管理有限公司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内蒙古自治区赤峰市红山区桥北组团北大桥路东、贡格尔大街北万豪B座商务楼万豪B座-4-1-402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17647347498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赤峰高新技术产业开发区元宝山产业园管理办公室</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元宝山区红卫矿开发区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徐嘉</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15144769888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以《内蒙古自治区建设工程招标代理服务收费指导意见》（内工建协[2022]34号）文件为计算标准，按照中标价为取费依据得出的服务费下浮50%后计为合同价，合同金额包括招标文件评审论证及组织开评标的一切费用，业主不另外支付任何费用。</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违约风险提示，成交供应商除因不可抗力（不能预见、不能避免且不能克服的客观情况）不能履行合同义务外，不得拒绝签订或者拒绝履行合同。拒绝签订或者拒绝履行合同的成交供应商不得参加对该项目重新开展的采购活动，且应当承担法律责任。</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赤峰高新技术产业开发区元宝山产业园管理办公室</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内蒙古权衡建设项目管理有限公司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赤峰高新技术产业开发区元宝山产业园控制性详细规划及详细规划成果入库项目。规划范围东起内蒙古德昱生物质能热电有限公司、南至平元公路、西到S219线、北达内蒙古赤阳春建材装备有限公司，规划总面积15.76平方公里。</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自合同签订之日起60日历日内提交成果文件及入库</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赤峰市元宝山区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1、形成阶段性规划成果，经甲方初步审核通过、专家咨询会通过后，十五个工作日内，达到付款条件起7日，支付合同总金额的50.00%</w:t>
            </w:r>
          </w:p>
          <w:p>
            <w:pPr>
              <w:pStyle w:val="null5"/>
              <w:jc w:val="left"/>
            </w:pPr>
            <w:r>
              <w:rPr>
                <w:rFonts w:ascii="仿宋_GB2312" w:hAnsi="仿宋_GB2312" w:cs="仿宋_GB2312" w:eastAsia="仿宋_GB2312"/>
              </w:rPr>
              <w:t>2、完成并提交完整正式规划成果，并通过验收后，十五个工作日内，达到付款条件起7日，支付合同总金额的50.00%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标的名称：赤峰高新技术产业开发区元宝山产业园控制性详细规划编制及详细规划成果入库项目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0"/>
              <w:jc w:val="left"/>
            </w:pPr>
            <w:r>
              <w:rPr>
                <w:rFonts w:ascii="仿宋_GB2312" w:hAnsi="仿宋_GB2312" w:cs="仿宋_GB2312" w:eastAsia="仿宋_GB2312"/>
                <w:sz w:val="24"/>
                <w:color w:val="000000"/>
              </w:rPr>
              <w:t>1、成果要求本规划要依据《中华人民共和国城乡规划法》</w:t>
            </w:r>
            <w:r>
              <w:rPr>
                <w:rFonts w:ascii="仿宋_GB2312" w:hAnsi="仿宋_GB2312" w:cs="仿宋_GB2312" w:eastAsia="仿宋_GB2312"/>
                <w:sz w:val="24"/>
                <w:color w:val="000000"/>
              </w:rPr>
              <w:t>、</w:t>
            </w:r>
            <w:r>
              <w:rPr>
                <w:rFonts w:ascii="仿宋_GB2312" w:hAnsi="仿宋_GB2312" w:cs="仿宋_GB2312" w:eastAsia="仿宋_GB2312"/>
                <w:sz w:val="24"/>
                <w:color w:val="000000"/>
              </w:rPr>
              <w:t>《城市规划编制办法》</w:t>
            </w:r>
            <w:r>
              <w:rPr>
                <w:rFonts w:ascii="仿宋_GB2312" w:hAnsi="仿宋_GB2312" w:cs="仿宋_GB2312" w:eastAsia="仿宋_GB2312"/>
                <w:sz w:val="24"/>
                <w:color w:val="000000"/>
              </w:rPr>
              <w:t>、《中华人民共和国土地管理法》、</w:t>
            </w:r>
            <w:r>
              <w:rPr>
                <w:rFonts w:ascii="仿宋_GB2312" w:hAnsi="仿宋_GB2312" w:cs="仿宋_GB2312" w:eastAsia="仿宋_GB2312"/>
                <w:sz w:val="24"/>
                <w:color w:val="000000"/>
              </w:rPr>
              <w:t>《内蒙古自治区城乡规划条例》</w:t>
            </w:r>
            <w:r>
              <w:rPr>
                <w:rFonts w:ascii="仿宋_GB2312" w:hAnsi="仿宋_GB2312" w:cs="仿宋_GB2312" w:eastAsia="仿宋_GB2312"/>
                <w:sz w:val="24"/>
                <w:color w:val="000000"/>
              </w:rPr>
              <w:t>、《城市、镇国土空间详细规划编制审批办法》、</w:t>
            </w:r>
            <w:r>
              <w:rPr>
                <w:rFonts w:ascii="仿宋_GB2312" w:hAnsi="仿宋_GB2312" w:cs="仿宋_GB2312" w:eastAsia="仿宋_GB2312"/>
                <w:sz w:val="24"/>
                <w:color w:val="000000"/>
              </w:rPr>
              <w:t>《城市居住区规划设计标准》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《国土空间调查、规划、用途管制用地用海分类指南》</w:t>
            </w:r>
            <w:r>
              <w:rPr>
                <w:rFonts w:ascii="仿宋_GB2312" w:hAnsi="仿宋_GB2312" w:cs="仿宋_GB2312" w:eastAsia="仿宋_GB2312"/>
                <w:sz w:val="24"/>
                <w:color w:val="000000"/>
              </w:rPr>
              <w:t>、《中共中央国务院关于建立国土空间规划体系并监督实施的若干意见》</w:t>
            </w:r>
            <w:r>
              <w:rPr>
                <w:rFonts w:ascii="仿宋_GB2312" w:hAnsi="仿宋_GB2312" w:cs="仿宋_GB2312" w:eastAsia="仿宋_GB2312"/>
                <w:sz w:val="24"/>
                <w:color w:val="000000"/>
              </w:rPr>
              <w:t>等法律法规、标准规范、政策规定编制。本规划有关工作要运用专业技术知识和专有技术手段，进行深入调查研究，其内容、深度达到相关规范的有关要求</w:t>
            </w:r>
            <w:r>
              <w:rPr>
                <w:rFonts w:ascii="仿宋_GB2312" w:hAnsi="仿宋_GB2312" w:cs="仿宋_GB2312" w:eastAsia="仿宋_GB2312"/>
                <w:sz w:val="24"/>
                <w:color w:val="000000"/>
              </w:rPr>
              <w:t>,设计内容应包括：</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确定园区</w:t>
            </w:r>
            <w:r>
              <w:rPr>
                <w:rFonts w:ascii="仿宋_GB2312" w:hAnsi="仿宋_GB2312" w:cs="仿宋_GB2312" w:eastAsia="仿宋_GB2312"/>
                <w:sz w:val="24"/>
                <w:color w:val="000000"/>
              </w:rPr>
              <w:t>功能定位</w:t>
            </w:r>
            <w:r>
              <w:rPr>
                <w:rFonts w:ascii="仿宋_GB2312" w:hAnsi="仿宋_GB2312" w:cs="仿宋_GB2312" w:eastAsia="仿宋_GB2312"/>
                <w:sz w:val="24"/>
                <w:color w:val="000000"/>
              </w:rPr>
              <w:t>、产业具体的发展目标。</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）确定规划范围内不同性质用地的界线，确定各类用地内适建，不适建或者有条件地允许建设的建筑类型。</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）确定各地块建筑高度、建筑密度</w:t>
            </w:r>
            <w:r>
              <w:rPr>
                <w:rFonts w:ascii="仿宋_GB2312" w:hAnsi="仿宋_GB2312" w:cs="仿宋_GB2312" w:eastAsia="仿宋_GB2312"/>
                <w:sz w:val="24"/>
                <w:color w:val="000000"/>
              </w:rPr>
              <w:t>、容积率、绿地率等控制指标；确定公共设施配套要求、交通出入口方位、停车泊位、建筑后退红线距离等要求。</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）根据交通需求分析，确定地块出入口位置、停车泊位、公共交通场站用地范围以及其它交通设施。规定各级道路的红线、断面、交叉口形式及渠化措施、控制点坐标和标高。</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）根据规划建设容量，确定公用设施工程管线位置、管径和工程设施的用地界线，进行管线综合。确定地下空间开发利用具体要求。</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w:t>
            </w:r>
            <w:r>
              <w:rPr>
                <w:rFonts w:ascii="仿宋_GB2312" w:hAnsi="仿宋_GB2312" w:cs="仿宋_GB2312" w:eastAsia="仿宋_GB2312"/>
                <w:sz w:val="24"/>
                <w:color w:val="000000"/>
              </w:rPr>
              <w:t>）确定基础设施用地的控制界线（黄线）、各类绿地范围的控制线（绿线）、历史文化遗产保护范围界线（紫线</w:t>
            </w:r>
            <w:r>
              <w:rPr>
                <w:rFonts w:ascii="仿宋_GB2312" w:hAnsi="仿宋_GB2312" w:cs="仿宋_GB2312" w:eastAsia="仿宋_GB2312"/>
                <w:sz w:val="24"/>
                <w:color w:val="000000"/>
              </w:rPr>
              <w:t>)、地表水体保护和控制的地域界线（蓝线）等“四线”及控制要求</w:t>
            </w:r>
            <w:r>
              <w:rPr>
                <w:rFonts w:ascii="仿宋_GB2312" w:hAnsi="仿宋_GB2312" w:cs="仿宋_GB2312" w:eastAsia="仿宋_GB2312"/>
                <w:sz w:val="24"/>
                <w:color w:val="000000"/>
              </w:rPr>
              <w:t>。</w:t>
            </w:r>
          </w:p>
          <w:p>
            <w:pPr>
              <w:pStyle w:val="null5"/>
              <w:ind w:firstLine="388"/>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由中标供应商提供</w:t>
            </w:r>
            <w:r>
              <w:rPr>
                <w:rFonts w:ascii="仿宋_GB2312" w:hAnsi="仿宋_GB2312" w:cs="仿宋_GB2312" w:eastAsia="仿宋_GB2312"/>
                <w:sz w:val="24"/>
                <w:color w:val="000000"/>
              </w:rPr>
              <w:t>现状</w:t>
            </w:r>
            <w:r>
              <w:rPr>
                <w:rFonts w:ascii="仿宋_GB2312" w:hAnsi="仿宋_GB2312" w:cs="仿宋_GB2312" w:eastAsia="仿宋_GB2312"/>
                <w:sz w:val="24"/>
                <w:color w:val="000000"/>
              </w:rPr>
              <w:t>1:</w:t>
            </w:r>
            <w:r>
              <w:rPr>
                <w:rFonts w:ascii="仿宋_GB2312" w:hAnsi="仿宋_GB2312" w:cs="仿宋_GB2312" w:eastAsia="仿宋_GB2312"/>
                <w:sz w:val="24"/>
                <w:color w:val="000000"/>
              </w:rPr>
              <w:t>20</w:t>
            </w:r>
            <w:r>
              <w:rPr>
                <w:rFonts w:ascii="仿宋_GB2312" w:hAnsi="仿宋_GB2312" w:cs="仿宋_GB2312" w:eastAsia="仿宋_GB2312"/>
                <w:sz w:val="24"/>
                <w:color w:val="000000"/>
              </w:rPr>
              <w:t>00地形图</w:t>
            </w:r>
            <w:r>
              <w:rPr>
                <w:rFonts w:ascii="仿宋_GB2312" w:hAnsi="仿宋_GB2312" w:cs="仿宋_GB2312" w:eastAsia="仿宋_GB2312"/>
                <w:sz w:val="24"/>
                <w:color w:val="000000"/>
              </w:rPr>
              <w:t>。</w:t>
            </w:r>
          </w:p>
          <w:p>
            <w:pPr>
              <w:pStyle w:val="null5"/>
              <w:ind w:firstLine="388"/>
              <w:jc w:val="left"/>
            </w:pPr>
            <w:r>
              <w:rPr>
                <w:rFonts w:ascii="仿宋_GB2312" w:hAnsi="仿宋_GB2312" w:cs="仿宋_GB2312" w:eastAsia="仿宋_GB2312"/>
                <w:sz w:val="24"/>
                <w:color w:val="000000"/>
              </w:rPr>
              <w:t>控制性详细规划成果应当包括规划文本、图件</w:t>
            </w:r>
            <w:r>
              <w:rPr>
                <w:rFonts w:ascii="仿宋_GB2312" w:hAnsi="仿宋_GB2312" w:cs="仿宋_GB2312" w:eastAsia="仿宋_GB2312"/>
                <w:sz w:val="24"/>
                <w:color w:val="000000"/>
              </w:rPr>
              <w:t>、</w:t>
            </w:r>
            <w:r>
              <w:rPr>
                <w:rFonts w:ascii="仿宋_GB2312" w:hAnsi="仿宋_GB2312" w:cs="仿宋_GB2312" w:eastAsia="仿宋_GB2312"/>
                <w:sz w:val="24"/>
                <w:color w:val="000000"/>
              </w:rPr>
              <w:t>附件</w:t>
            </w:r>
            <w:r>
              <w:rPr>
                <w:rFonts w:ascii="仿宋_GB2312" w:hAnsi="仿宋_GB2312" w:cs="仿宋_GB2312" w:eastAsia="仿宋_GB2312"/>
                <w:sz w:val="24"/>
                <w:color w:val="000000"/>
              </w:rPr>
              <w:t>和成果数据库</w:t>
            </w:r>
            <w:r>
              <w:rPr>
                <w:rFonts w:ascii="仿宋_GB2312" w:hAnsi="仿宋_GB2312" w:cs="仿宋_GB2312" w:eastAsia="仿宋_GB2312"/>
                <w:sz w:val="24"/>
                <w:color w:val="000000"/>
              </w:rPr>
              <w:t>。图件由图纸和图则两部分组成，规划说明和基础资料汇编收入附件。</w:t>
            </w:r>
          </w:p>
          <w:p>
            <w:pPr>
              <w:pStyle w:val="null5"/>
              <w:ind w:firstLine="388"/>
              <w:jc w:val="left"/>
            </w:pPr>
            <w:r>
              <w:rPr>
                <w:rFonts w:ascii="仿宋_GB2312" w:hAnsi="仿宋_GB2312" w:cs="仿宋_GB2312" w:eastAsia="仿宋_GB2312"/>
                <w:sz w:val="24"/>
                <w:color w:val="000000"/>
              </w:rPr>
              <w:t>1）纸质文件：最终成果按照甲方要求规格打印6套。</w:t>
            </w:r>
          </w:p>
          <w:p>
            <w:pPr>
              <w:pStyle w:val="null5"/>
              <w:ind w:firstLine="388"/>
              <w:jc w:val="left"/>
            </w:pPr>
            <w:r>
              <w:rPr>
                <w:rFonts w:ascii="仿宋_GB2312" w:hAnsi="仿宋_GB2312" w:cs="仿宋_GB2312" w:eastAsia="仿宋_GB2312"/>
                <w:sz w:val="24"/>
                <w:color w:val="000000"/>
              </w:rPr>
              <w:t>2）电子文件:提供与纸质文件内容相同的电子文件光盘2套，其中文字采用word和pdf格式;规划设计图纸采用dwg和jpg格式，汇报文件采用ppt格式，并需提供在电子文件中使用的非系统自带字体库中的字体文件。该规划电子版成果应含GIS数据库(mdb</w:t>
            </w:r>
            <w:r>
              <w:rPr>
                <w:rFonts w:ascii="仿宋_GB2312" w:hAnsi="仿宋_GB2312" w:cs="仿宋_GB2312" w:eastAsia="仿宋_GB2312"/>
                <w:sz w:val="24"/>
                <w:color w:val="000000"/>
              </w:rPr>
              <w:t>或</w:t>
            </w:r>
            <w:r>
              <w:rPr>
                <w:rFonts w:ascii="仿宋_GB2312" w:hAnsi="仿宋_GB2312" w:cs="仿宋_GB2312" w:eastAsia="仿宋_GB2312"/>
                <w:sz w:val="24"/>
                <w:color w:val="000000"/>
              </w:rPr>
              <w:t>gdb格式)，符合自然资源部数据库建库标准，达到纳入“一张图”系统要求，并按国家2000大地坐标系出具该规划成果</w:t>
            </w:r>
            <w:r>
              <w:rPr>
                <w:rFonts w:ascii="仿宋_GB2312" w:hAnsi="仿宋_GB2312" w:cs="仿宋_GB2312" w:eastAsia="仿宋_GB2312"/>
                <w:sz w:val="24"/>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①提供递交投标文件截止之日前一年内（至少一个月）的良好缴纳税收的相关凭据（以税务机关提供的纳税凭据或银行入账单为准） ②提供递交响应文件截止之日前一年内（至少一个月）缴纳社会保险的凭证（以专用收据或社会保险缴纳清单为准） 注：其他组织和自然人也需要提供缴纳。依法免税或不需要缴纳社会保障资金的供应商，应提供相应文件证明其依法免税或不需要缴纳社会保障资金。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供应商提供自本项目公告发布至提交投标文件的截止时间内：（1）经“信用中国”网站查询的供应商未被列入“失信被执行人”、“重大税收违法失信主体”、“政府采购严重 违法失信行为记录名单”的网页截图； （2）经“中国政府采购网”网站查询的供应商未被列入“政府采购严重违法失信行为记录名单”的网页截图。</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不接受联合体</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特殊资格审查</w:t>
            </w:r>
          </w:p>
        </w:tc>
        <w:tc>
          <w:tcPr>
            <w:tcW w:type="dxa" w:w="4984"/>
          </w:tcPr>
          <w:p>
            <w:pPr>
              <w:pStyle w:val="null5"/>
              <w:jc w:val="left"/>
            </w:pPr>
            <w:r>
              <w:rPr>
                <w:rFonts w:ascii="仿宋_GB2312" w:hAnsi="仿宋_GB2312" w:cs="仿宋_GB2312" w:eastAsia="仿宋_GB2312"/>
              </w:rPr>
              <w:t>供应商须同时具备行业主管部门核发的城乡规划编制乙级资质及测绘乙级以上（含乙级）资质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对于本项目的重点、难点分析</w:t>
            </w:r>
          </w:p>
        </w:tc>
        <w:tc>
          <w:tcPr>
            <w:tcW w:type="dxa" w:w="3115"/>
          </w:tcPr>
          <w:p>
            <w:pPr>
              <w:pStyle w:val="null5"/>
              <w:jc w:val="left"/>
            </w:pPr>
            <w:r>
              <w:rPr>
                <w:rFonts w:ascii="仿宋_GB2312" w:hAnsi="仿宋_GB2312" w:cs="仿宋_GB2312" w:eastAsia="仿宋_GB2312"/>
              </w:rPr>
              <w:t>根据投标供应商对于本项目的重点、难点分析进行评审。包括但不限于①项目发展背景和现状②项目发展情况及在编规划情况分析③相关政策及项目总体要求的理解④项目的意义⑤项目重点、难点分析。以上内容满分15分，每缺一项内容扣3分，每有一项内容存在缺陷的扣1分，扣完15分为止，未提供不得分。注：缺陷是指内容与实际情况不符、内容与本项目无关、无针对性或内容简单、内容表述错误、内容前后表述矛盾、项目信息错误 、缺项漏项、不符合本项目涉及的相关规范或标准要求的任意一种情形。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项目规划内容</w:t>
            </w:r>
          </w:p>
        </w:tc>
        <w:tc>
          <w:tcPr>
            <w:tcW w:type="dxa" w:w="3115"/>
          </w:tcPr>
          <w:p>
            <w:pPr>
              <w:pStyle w:val="null5"/>
              <w:jc w:val="left"/>
            </w:pPr>
            <w:r>
              <w:rPr>
                <w:rFonts w:ascii="仿宋_GB2312" w:hAnsi="仿宋_GB2312" w:cs="仿宋_GB2312" w:eastAsia="仿宋_GB2312"/>
              </w:rPr>
              <w:t>根据投标供应商的提供的项目规划内容进行评审。包括但不限于①项目需求的理解；②工作思路及流程；③项目区域现状分析；④项目实施重点、难点；⑤项目实施目标。以上内容满分15分，每缺一项内容扣3分，每有一项内容存在缺陷的扣1分，扣完15分为止，未提供不得分。 注：缺陷是指内容与实际情况不符、内容与本项目无关、无针对性或内容简单、内容表述错误、内容前后表述矛盾、项目信息错误、缺项漏项、不符合本项目涉及的相关规范或标准要求的任意一种情形。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项目技术方案</w:t>
            </w:r>
          </w:p>
        </w:tc>
        <w:tc>
          <w:tcPr>
            <w:tcW w:type="dxa" w:w="3115"/>
          </w:tcPr>
          <w:p>
            <w:pPr>
              <w:pStyle w:val="null5"/>
              <w:jc w:val="left"/>
            </w:pPr>
            <w:r>
              <w:rPr>
                <w:rFonts w:ascii="仿宋_GB2312" w:hAnsi="仿宋_GB2312" w:cs="仿宋_GB2312" w:eastAsia="仿宋_GB2312"/>
              </w:rPr>
              <w:t>根据投标供应商提供的项目技术方案进行评审。包括但不限于①项目定位和功能②产业发展规划③空间布局④项目整体规划方案⑤风险管理措施。以上内容满分15分，每缺一项内容扣3分，每有一项内容存在缺陷的扣1分，扣完15分为止，未提供不得分。 注：缺陷是指内容与实际情况不符、内容与本项目无关、无针对性或内容简单、内容表述错误、内容前后表述矛盾、项目信息错误 、缺项漏项、不符合本项目涉及的相关规范或标准要求的任意一种情形。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投标应商提供的质量保证措施进行评审。包括但不限于①项目人员管理制度；②质量保证体系；③质量保证措施；④技术支持；⑤成果保密措施；以上内容满分10分，每缺一项内容2分，每有一项内容存在缺陷的扣1分，扣完10分为止，未提供不得分。 注：缺陷是指内容与实际情况不符、内容与本项目无关、无针对性或内容简单、内容表述错误、内容前后表述矛盾、项目信息错误 、缺项漏项、不符合本项目涉及的相关规范或标准要求的任意一种情形。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进度安排及保障措施</w:t>
            </w:r>
          </w:p>
        </w:tc>
        <w:tc>
          <w:tcPr>
            <w:tcW w:type="dxa" w:w="3115"/>
          </w:tcPr>
          <w:p>
            <w:pPr>
              <w:pStyle w:val="null5"/>
              <w:jc w:val="left"/>
            </w:pPr>
            <w:r>
              <w:rPr>
                <w:rFonts w:ascii="仿宋_GB2312" w:hAnsi="仿宋_GB2312" w:cs="仿宋_GB2312" w:eastAsia="仿宋_GB2312"/>
              </w:rPr>
              <w:t>根据投标供应商提供的进度安排及保障措施进行评审。包括但不限于①项目进度计划；②进度保障体系；③进度保障措施；④进度管理方案⑤设备保障措施；以上内容满分5分，每缺一项内容扣1分，每有一项内容存在缺陷的扣0.5分， 扣完5分为止，未提供不得分。 注：缺陷是指内容与实际情况不符、内容与本项目无关、无针对性或内容简单、内容表述错误、内容前后表述矛盾、项目信息错误 、缺项漏项、不符合本项目涉及的相关规范或标准要求的任意一种情形。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技术力量</w:t>
            </w:r>
          </w:p>
        </w:tc>
        <w:tc>
          <w:tcPr>
            <w:tcW w:type="dxa" w:w="3115"/>
          </w:tcPr>
          <w:p>
            <w:pPr>
              <w:pStyle w:val="null5"/>
              <w:jc w:val="left"/>
            </w:pPr>
            <w:r>
              <w:rPr>
                <w:rFonts w:ascii="仿宋_GB2312" w:hAnsi="仿宋_GB2312" w:cs="仿宋_GB2312" w:eastAsia="仿宋_GB2312"/>
              </w:rPr>
              <w:t>1、项目负责人： （1）项目负责人具有城市（乡）规划专业高级技术职称且同时具备注册城乡规划师资格的，得3分；项目负责人具有城市（乡）规划专业中级技术职称且同时具备注册城乡规划师资格的，得1分，本项最高得3分； （2）项目负责人2020年1月1日以来，获得省级(或省级行业协会)及以上咨询类或规划类奖项的，每个得2分，本项最高得2分。 注：①人员2024年1月1日以来任意一个月社保证明材料；②提供相关职称、资格、荣誉奖项证书扫描件并加盖单位公章，不提供或提供不全不得分；③荣誉奖项以证书颁发日期为准。 2、项目组成员： 项目组成员：供应商拟投入本项目的项目组成员（除项目负责人外）至少5人应具备城乡（市）规划、市政工程、建筑设计、道路桥梁（或交通）、园林绿化，以上每个专业配备1名高级及以上职称的得3分，以上每个专业配备1名中级职称的得1分，重复证书按1个计算，多个证书为同一人的按1个计算。本项最高得15分； 注：提供人员2024年1月1日以来任意一个月社保证明材料，及相关证书扫描件并加盖公章，不提供不得分。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2022年1月以来（以合同签订日期为准），供应商承担过同类业绩项目的，每提供一个得5分，本项最高得10分。 注：提供合同原件扫描件（包含合同首页和供应商页和主要规划内容页和签字盖章页等）并加盖单位公章，不提供或提供不满足不得分。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