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一、</w:t>
      </w:r>
      <w:bookmarkStart w:id="0" w:name="_GoBack"/>
      <w:r>
        <w:rPr>
          <w:rFonts w:hint="eastAsia" w:asciiTheme="majorEastAsia" w:hAnsiTheme="majorEastAsia" w:eastAsiaTheme="majorEastAsia" w:cstheme="majorEastAsia"/>
          <w:sz w:val="44"/>
          <w:szCs w:val="44"/>
        </w:rPr>
        <w:t>投标承诺书</w:t>
      </w:r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致：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>（采购单位名称和采购代理机构名称）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你方组织的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</w:t>
      </w:r>
      <w:r>
        <w:rPr>
          <w:rFonts w:hint="eastAsia" w:ascii="仿宋" w:hAnsi="仿宋" w:eastAsia="仿宋" w:cs="仿宋"/>
          <w:sz w:val="32"/>
          <w:szCs w:val="32"/>
        </w:rPr>
        <w:t>（项目名称）的招标，项目编号：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>，我方自愿参与投标，并就有关事项郑重承诺如下：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一、我方完全理解并接受该项目招标文件的所有要求。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二、我方严格遵守《中华人民共和国政府采购法》《中华人民共和国民法典》及相关法律、法规的规定，如有违反，承担 相应的法律责任。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三、我方的最终报价为开标一览表（报价表）中的投标总报价，在投标有效期和合同有效期内，该报价固定不变。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四、我方同意招标文件关于投标有效期的规定。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五、我方同意提供贵方要求的与投标有关的任何数据和资料。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六、我方将按照招标文件、投标文件等要求，签订并严格执行政府采购合同。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七、我方投标报价已包含应向知识产权所有权人支付的所有相关税费，并保证采购人在中国使用我方提供的货物时，如有第三方提出侵犯其知识产权主张的，责任由我方承担。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八、我方承诺未为本项目提供整体设计、规范编制或者项目管理、监理、检测等服务。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九、我方提供的投标文件内容全部真实有效，如有虚假或隐瞒，我方愿意承担一切法律责任。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十、若我方中标，愿意按有关规定及招标文件要求缴纳招标代理服务费。若采购人支付代理服务费，则此条不适用。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详细地址：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邮政编码：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电话：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电子邮箱：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投标人开户银行：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账号/行号：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投标人名称（盖章）：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法定代表人或授权委托人（签字）：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righ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 xml:space="preserve"> 年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pacing w:val="1"/>
          <w:sz w:val="32"/>
          <w:szCs w:val="32"/>
          <w:u w:val="single" w:color="auto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Lucida Sans Unicod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STHeiti Light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Kai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Arial Regular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Hiragino Sans CNS W3">
    <w:panose1 w:val="020B0300000000000000"/>
    <w:charset w:val="88"/>
    <w:family w:val="auto"/>
    <w:pitch w:val="default"/>
    <w:sig w:usb0="00000001" w:usb1="1A0F1900" w:usb2="00000016" w:usb3="00000000" w:csb0="00120005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D0F56"/>
    <w:rsid w:val="6F9D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60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2024-12-02T14:24:00Z</dcterms:created>
  <dc:creator>林永帆</dc:creator>
  <cp:lastModifiedBy>林永帆</cp:lastModifiedBy>
  <dcterms:modified xsi:type="dcterms:W3CDTF">2024-12-02T15:40:27Z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D5759B1E7EA478CD9B524D679036D4F5_41</vt:lpwstr>
  </property>
</Properties>
</file>