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农村学校校车运营管理服务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赤峰市松山区教育局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安徽圣成项目管理有限公司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CFZCSSS-G-F-250007</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安徽圣成项目管理有限公司</w:t>
      </w:r>
      <w:r>
        <w:rPr>
          <w:rFonts w:ascii="仿宋_GB2312" w:hAnsi="仿宋_GB2312" w:cs="仿宋_GB2312" w:eastAsia="仿宋_GB2312"/>
        </w:rPr>
        <w:t xml:space="preserve"> 受 </w:t>
      </w:r>
      <w:r>
        <w:rPr>
          <w:rFonts w:ascii="仿宋_GB2312" w:hAnsi="仿宋_GB2312" w:cs="仿宋_GB2312" w:eastAsia="仿宋_GB2312"/>
        </w:rPr>
        <w:t>赤峰市松山区教育局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农村学校校车运营管理服务</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农村学校校车运营管理服务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CFZCSSS-G-F-250007</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赤政采计划[2025]松山00243</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7,527,190.68</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农村学校校车运营管理服务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7,527,190.68</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交通运输业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安徽圣成项目管理有限公司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赤峰市松山区金日怡景</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024000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潘国龙</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15703657878</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赤峰市松山区教育局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赤峰市松山区广场路29号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024000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张忠武</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13500660550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代理服务费收费标准：本次采购活动招标代理服务费用参照《内蒙古自治区建设工 程招标代理服务指导意见》内工建协【2022】34号文件计算收取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详见招标文件</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赤峰市松山区教育局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安徽圣成项目管理有限公司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审查供应商提供的（1）或（2）的资料，任选其一:（1）供应商2023年度以来经会计师事务所出具的财务审计报告；（2）供应商基本开户银行近一年内出具的银行资信证明；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供应商须同时提供递交投标文件截止之日前一年内至少一个月的：①缴纳税收的相关凭据（税务机关提供的纳税凭据或银行入账单或其它缴纳凭证）；②缴纳社会保险的凭证(专用收据或社会保险缴纳清单或其它缴纳凭证)； 注:a、其他组织和自然人也需要提供上述的证明材料。 b、依法免税或不需要缴纳社会保障资金的供应商，提供相应证明材料或说明材料，无需提供上述的证明材料。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1、通过公开招标的方式采购44辆校车的运营管理服务，为43个农村学校（301个自然村总计1060个站点、校车运营里程数约为1063000公里）提供校车运营管理服务，所需的44辆校车由采购人提供，本项目的招标金额为一年的服务费，年度运营结束后经采购人考核合核可续签合同，最多续签两年。 校车运营收入来源于两部分，一部分是收取乘车学生的车费（每年约300万元左右）由中标供应商按现行收费标准自行向乘车学生收取，一分部是政府补贴的运营服务费（本项目招标标的）。 2、运营模式：校车运营根据学校放假时间实施每周五、周六、周日、周一分时段运营， 学生由供应商按定时、定线、定点、定车、定员、定座的原则负责接送， 乘车学生采取“实名制” ，乘车学生信息由学校提前提供给供应商，学校确定专人负责配合供应商随车照管员组织学生上下车，学校为接送车辆划出专用停车位。 3、监督及考核：松山区教育局校车管理办公室将负责对校车运营服务提供单位的日常监督、管理、考核，协调，定期督促其对校车从业人员进行岗位培训和技能培训。 4、合同履行期间,若国家、 自治区、赤峰市对校车政策有调整时,双方经协商可调整合同相关条款,并签订补充协议，在双方未达成书面协议前,仍按中标时签订的合同履行。 5、供应商所提供的服务应符合《校车安全管理条例》、《内蒙古自治区校车安全管理条例实施办法（试行）》、《赤峰市校车安全管理规定》的相关要求。</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一年。年度运营结束后经采购人考核合核可续签合同，最多续签两年。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采购人要求地点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1、本项目服务费来源于学生支付的车费，按运行天数和里程计算，由采购人负责收取，不足部分由本级财政补齐 。服务费按每半年支付，达到付款条件起7日，支付合同总金额的100.00%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标的名称：农村学校校车运营管理服务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numPr>
                <w:ilvl w:val="0"/>
                <w:numId w:val="1"/>
              </w:numPr>
              <w:spacing w:before="90"/>
              <w:ind w:right="105"/>
              <w:jc w:val="left"/>
            </w:pPr>
            <w:r>
              <w:rPr>
                <w:rFonts w:ascii="仿宋_GB2312" w:hAnsi="仿宋_GB2312" w:cs="仿宋_GB2312" w:eastAsia="仿宋_GB2312"/>
                <w:sz w:val="28"/>
                <w:color w:val="000000"/>
              </w:rPr>
              <w:t>通过公开招标的方式采购</w:t>
            </w:r>
            <w:r>
              <w:rPr>
                <w:rFonts w:ascii="仿宋_GB2312" w:hAnsi="仿宋_GB2312" w:cs="仿宋_GB2312" w:eastAsia="仿宋_GB2312"/>
                <w:sz w:val="28"/>
                <w:color w:val="000000"/>
              </w:rPr>
              <w:t>44辆校车的运营管理</w:t>
            </w:r>
            <w:r>
              <w:rPr>
                <w:rFonts w:ascii="仿宋_GB2312" w:hAnsi="仿宋_GB2312" w:cs="仿宋_GB2312" w:eastAsia="仿宋_GB2312"/>
                <w:sz w:val="28"/>
                <w:color w:val="000000"/>
              </w:rPr>
              <w:t>服务，</w:t>
            </w:r>
            <w:r>
              <w:rPr>
                <w:rFonts w:ascii="仿宋_GB2312" w:hAnsi="仿宋_GB2312" w:cs="仿宋_GB2312" w:eastAsia="仿宋_GB2312"/>
                <w:sz w:val="28"/>
                <w:color w:val="000000"/>
              </w:rPr>
              <w:t>为</w:t>
            </w:r>
            <w:r>
              <w:rPr>
                <w:rFonts w:ascii="仿宋_GB2312" w:hAnsi="仿宋_GB2312" w:cs="仿宋_GB2312" w:eastAsia="仿宋_GB2312"/>
                <w:sz w:val="28"/>
                <w:color w:val="000000"/>
              </w:rPr>
              <w:t>43</w:t>
            </w:r>
            <w:r>
              <w:rPr>
                <w:rFonts w:ascii="仿宋_GB2312" w:hAnsi="仿宋_GB2312" w:cs="仿宋_GB2312" w:eastAsia="仿宋_GB2312"/>
                <w:sz w:val="28"/>
                <w:color w:val="000000"/>
              </w:rPr>
              <w:t>个农村学校</w:t>
            </w:r>
            <w:r>
              <w:rPr>
                <w:rFonts w:ascii="仿宋_GB2312" w:hAnsi="仿宋_GB2312" w:cs="仿宋_GB2312" w:eastAsia="仿宋_GB2312"/>
                <w:sz w:val="28"/>
                <w:color w:val="000000"/>
              </w:rPr>
              <w:t>（</w:t>
            </w:r>
            <w:r>
              <w:rPr>
                <w:rFonts w:ascii="仿宋_GB2312" w:hAnsi="仿宋_GB2312" w:cs="仿宋_GB2312" w:eastAsia="仿宋_GB2312"/>
                <w:sz w:val="28"/>
                <w:color w:val="000000"/>
              </w:rPr>
              <w:t>301个自然村</w:t>
            </w:r>
            <w:r>
              <w:rPr>
                <w:rFonts w:ascii="仿宋_GB2312" w:hAnsi="仿宋_GB2312" w:cs="仿宋_GB2312" w:eastAsia="仿宋_GB2312"/>
                <w:sz w:val="28"/>
                <w:color w:val="000000"/>
              </w:rPr>
              <w:t>总计</w:t>
            </w:r>
            <w:r>
              <w:rPr>
                <w:rFonts w:ascii="仿宋_GB2312" w:hAnsi="仿宋_GB2312" w:cs="仿宋_GB2312" w:eastAsia="仿宋_GB2312"/>
                <w:sz w:val="28"/>
                <w:color w:val="000000"/>
              </w:rPr>
              <w:t>1060个站点、</w:t>
            </w:r>
            <w:r>
              <w:rPr>
                <w:rFonts w:ascii="仿宋_GB2312" w:hAnsi="仿宋_GB2312" w:cs="仿宋_GB2312" w:eastAsia="仿宋_GB2312"/>
                <w:sz w:val="28"/>
                <w:color w:val="000000"/>
              </w:rPr>
              <w:t>校车运营里程数约为</w:t>
            </w:r>
            <w:r>
              <w:rPr>
                <w:rFonts w:ascii="仿宋_GB2312" w:hAnsi="仿宋_GB2312" w:cs="仿宋_GB2312" w:eastAsia="仿宋_GB2312"/>
                <w:sz w:val="28"/>
                <w:color w:val="000000"/>
              </w:rPr>
              <w:t>1063000公里）提供校车运营管理服务，所需的44辆校车由采购人提供，本项目的招标金额为一年的服务费，年度运营结束后经采购人考核合核可续签合同，最多续签两年。</w:t>
            </w:r>
          </w:p>
          <w:p>
            <w:pPr>
              <w:pStyle w:val="null5"/>
              <w:spacing w:before="90"/>
              <w:ind w:right="105"/>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校车运营收入来源于两部分，一部分是收取乘车学生的车费（每年约</w:t>
            </w:r>
            <w:r>
              <w:rPr>
                <w:rFonts w:ascii="仿宋_GB2312" w:hAnsi="仿宋_GB2312" w:cs="仿宋_GB2312" w:eastAsia="仿宋_GB2312"/>
                <w:sz w:val="28"/>
                <w:color w:val="000000"/>
              </w:rPr>
              <w:t>300万元左右）由中标供应商按现行收费标准自行向乘车学生收取，一分部是政府补贴的运营服务费（本项目招标标的）。</w:t>
            </w:r>
          </w:p>
          <w:p>
            <w:pPr>
              <w:pStyle w:val="null5"/>
              <w:spacing w:before="75"/>
              <w:ind w:right="105" w:firstLine="354"/>
              <w:jc w:val="left"/>
            </w:pPr>
            <w:r>
              <w:rPr>
                <w:rFonts w:ascii="仿宋_GB2312" w:hAnsi="仿宋_GB2312" w:cs="仿宋_GB2312" w:eastAsia="仿宋_GB2312"/>
                <w:b/>
              </w:rPr>
              <w:t xml:space="preserve"> </w:t>
            </w:r>
            <w:r>
              <w:rPr>
                <w:rFonts w:ascii="仿宋_GB2312" w:hAnsi="仿宋_GB2312" w:cs="仿宋_GB2312" w:eastAsia="仿宋_GB2312"/>
                <w:sz w:val="28"/>
                <w:b/>
              </w:rPr>
              <w:t>2、</w:t>
            </w:r>
            <w:r>
              <w:rPr>
                <w:rFonts w:ascii="仿宋_GB2312" w:hAnsi="仿宋_GB2312" w:cs="仿宋_GB2312" w:eastAsia="仿宋_GB2312"/>
                <w:sz w:val="28"/>
              </w:rPr>
              <w:t>运营</w:t>
            </w:r>
            <w:r>
              <w:rPr>
                <w:rFonts w:ascii="仿宋_GB2312" w:hAnsi="仿宋_GB2312" w:cs="仿宋_GB2312" w:eastAsia="仿宋_GB2312"/>
                <w:sz w:val="28"/>
              </w:rPr>
              <w:t>模式：</w:t>
            </w:r>
            <w:r>
              <w:rPr>
                <w:rFonts w:ascii="仿宋_GB2312" w:hAnsi="仿宋_GB2312" w:cs="仿宋_GB2312" w:eastAsia="仿宋_GB2312"/>
                <w:sz w:val="28"/>
              </w:rPr>
              <w:t>校车运营根据学校放假时间</w:t>
            </w:r>
            <w:r>
              <w:rPr>
                <w:rFonts w:ascii="仿宋_GB2312" w:hAnsi="仿宋_GB2312" w:cs="仿宋_GB2312" w:eastAsia="仿宋_GB2312"/>
                <w:sz w:val="28"/>
              </w:rPr>
              <w:t>实施每周五</w:t>
            </w:r>
            <w:r>
              <w:rPr>
                <w:rFonts w:ascii="仿宋_GB2312" w:hAnsi="仿宋_GB2312" w:cs="仿宋_GB2312" w:eastAsia="仿宋_GB2312"/>
                <w:sz w:val="28"/>
              </w:rPr>
              <w:t>、</w:t>
            </w:r>
            <w:r>
              <w:rPr>
                <w:rFonts w:ascii="仿宋_GB2312" w:hAnsi="仿宋_GB2312" w:cs="仿宋_GB2312" w:eastAsia="仿宋_GB2312"/>
                <w:sz w:val="28"/>
              </w:rPr>
              <w:t>周六</w:t>
            </w:r>
            <w:r>
              <w:rPr>
                <w:rFonts w:ascii="仿宋_GB2312" w:hAnsi="仿宋_GB2312" w:cs="仿宋_GB2312" w:eastAsia="仿宋_GB2312"/>
                <w:sz w:val="28"/>
              </w:rPr>
              <w:t>、</w:t>
            </w:r>
            <w:r>
              <w:rPr>
                <w:rFonts w:ascii="仿宋_GB2312" w:hAnsi="仿宋_GB2312" w:cs="仿宋_GB2312" w:eastAsia="仿宋_GB2312"/>
                <w:sz w:val="28"/>
              </w:rPr>
              <w:t>周日</w:t>
            </w:r>
            <w:r>
              <w:rPr>
                <w:rFonts w:ascii="仿宋_GB2312" w:hAnsi="仿宋_GB2312" w:cs="仿宋_GB2312" w:eastAsia="仿宋_GB2312"/>
                <w:sz w:val="28"/>
              </w:rPr>
              <w:t>、</w:t>
            </w:r>
            <w:r>
              <w:rPr>
                <w:rFonts w:ascii="仿宋_GB2312" w:hAnsi="仿宋_GB2312" w:cs="仿宋_GB2312" w:eastAsia="仿宋_GB2312"/>
                <w:sz w:val="28"/>
              </w:rPr>
              <w:t>周一分时段</w:t>
            </w:r>
            <w:r>
              <w:rPr>
                <w:rFonts w:ascii="仿宋_GB2312" w:hAnsi="仿宋_GB2312" w:cs="仿宋_GB2312" w:eastAsia="仿宋_GB2312"/>
                <w:sz w:val="28"/>
              </w:rPr>
              <w:t>运营，</w:t>
            </w:r>
            <w:r>
              <w:rPr>
                <w:rFonts w:ascii="仿宋_GB2312" w:hAnsi="仿宋_GB2312" w:cs="仿宋_GB2312" w:eastAsia="仿宋_GB2312"/>
              </w:rPr>
              <w:t xml:space="preserve"> </w:t>
            </w:r>
            <w:r>
              <w:rPr>
                <w:rFonts w:ascii="仿宋_GB2312" w:hAnsi="仿宋_GB2312" w:cs="仿宋_GB2312" w:eastAsia="仿宋_GB2312"/>
                <w:sz w:val="28"/>
              </w:rPr>
              <w:t>学生由供应商按定时、定线、定点</w:t>
            </w:r>
            <w:r>
              <w:rPr>
                <w:rFonts w:ascii="仿宋_GB2312" w:hAnsi="仿宋_GB2312" w:cs="仿宋_GB2312" w:eastAsia="仿宋_GB2312"/>
                <w:sz w:val="28"/>
              </w:rPr>
              <w:t>、定车、定员、定座的原则负责接送</w:t>
            </w:r>
            <w:r>
              <w:rPr>
                <w:rFonts w:ascii="仿宋_GB2312" w:hAnsi="仿宋_GB2312" w:cs="仿宋_GB2312" w:eastAsia="仿宋_GB2312"/>
                <w:sz w:val="28"/>
              </w:rPr>
              <w:t>，</w:t>
            </w:r>
            <w:r>
              <w:rPr>
                <w:rFonts w:ascii="仿宋_GB2312" w:hAnsi="仿宋_GB2312" w:cs="仿宋_GB2312" w:eastAsia="仿宋_GB2312"/>
              </w:rPr>
              <w:t xml:space="preserve"> </w:t>
            </w:r>
            <w:r>
              <w:rPr>
                <w:rFonts w:ascii="仿宋_GB2312" w:hAnsi="仿宋_GB2312" w:cs="仿宋_GB2312" w:eastAsia="仿宋_GB2312"/>
                <w:sz w:val="28"/>
              </w:rPr>
              <w:t>乘车学生采取</w:t>
            </w:r>
            <w:r>
              <w:rPr>
                <w:rFonts w:ascii="仿宋_GB2312" w:hAnsi="仿宋_GB2312" w:cs="仿宋_GB2312" w:eastAsia="仿宋_GB2312"/>
                <w:sz w:val="28"/>
              </w:rPr>
              <w:t>“实名制”</w:t>
            </w:r>
            <w:r>
              <w:rPr>
                <w:rFonts w:ascii="仿宋_GB2312" w:hAnsi="仿宋_GB2312" w:cs="仿宋_GB2312" w:eastAsia="仿宋_GB2312"/>
              </w:rPr>
              <w:t xml:space="preserve"> </w:t>
            </w:r>
            <w:r>
              <w:rPr>
                <w:rFonts w:ascii="仿宋_GB2312" w:hAnsi="仿宋_GB2312" w:cs="仿宋_GB2312" w:eastAsia="仿宋_GB2312"/>
                <w:sz w:val="28"/>
              </w:rPr>
              <w:t>，</w:t>
            </w:r>
            <w:r>
              <w:rPr>
                <w:rFonts w:ascii="仿宋_GB2312" w:hAnsi="仿宋_GB2312" w:cs="仿宋_GB2312" w:eastAsia="仿宋_GB2312"/>
                <w:sz w:val="28"/>
              </w:rPr>
              <w:t>乘车学生信息由学校提前提供给供应商，学校确定专人负责配</w:t>
            </w:r>
            <w:r>
              <w:rPr>
                <w:rFonts w:ascii="仿宋_GB2312" w:hAnsi="仿宋_GB2312" w:cs="仿宋_GB2312" w:eastAsia="仿宋_GB2312"/>
                <w:sz w:val="28"/>
              </w:rPr>
              <w:t>合供应商随车照管员组织学生上下车，</w:t>
            </w:r>
            <w:r>
              <w:rPr>
                <w:rFonts w:ascii="仿宋_GB2312" w:hAnsi="仿宋_GB2312" w:cs="仿宋_GB2312" w:eastAsia="仿宋_GB2312"/>
                <w:sz w:val="28"/>
              </w:rPr>
              <w:t>学校</w:t>
            </w:r>
            <w:r>
              <w:rPr>
                <w:rFonts w:ascii="仿宋_GB2312" w:hAnsi="仿宋_GB2312" w:cs="仿宋_GB2312" w:eastAsia="仿宋_GB2312"/>
                <w:sz w:val="28"/>
              </w:rPr>
              <w:t>为接送车辆划出专用停车位。</w:t>
            </w:r>
          </w:p>
          <w:p>
            <w:pPr>
              <w:pStyle w:val="null5"/>
              <w:spacing w:before="75"/>
              <w:ind w:right="105" w:firstLine="248"/>
              <w:jc w:val="left"/>
            </w:pPr>
            <w:r>
              <w:rPr>
                <w:rFonts w:ascii="仿宋_GB2312" w:hAnsi="仿宋_GB2312" w:cs="仿宋_GB2312" w:eastAsia="仿宋_GB2312"/>
              </w:rPr>
              <w:t xml:space="preserve"> </w:t>
            </w:r>
            <w:r>
              <w:rPr>
                <w:rFonts w:ascii="仿宋_GB2312" w:hAnsi="仿宋_GB2312" w:cs="仿宋_GB2312" w:eastAsia="仿宋_GB2312"/>
                <w:sz w:val="28"/>
              </w:rPr>
              <w:t>3、</w:t>
            </w:r>
            <w:r>
              <w:rPr>
                <w:rFonts w:ascii="仿宋_GB2312" w:hAnsi="仿宋_GB2312" w:cs="仿宋_GB2312" w:eastAsia="仿宋_GB2312"/>
                <w:sz w:val="28"/>
              </w:rPr>
              <w:t>监督及考核：</w:t>
            </w:r>
            <w:r>
              <w:rPr>
                <w:rFonts w:ascii="仿宋_GB2312" w:hAnsi="仿宋_GB2312" w:cs="仿宋_GB2312" w:eastAsia="仿宋_GB2312"/>
                <w:sz w:val="28"/>
              </w:rPr>
              <w:t>松山区教育局</w:t>
            </w:r>
            <w:r>
              <w:rPr>
                <w:rFonts w:ascii="仿宋_GB2312" w:hAnsi="仿宋_GB2312" w:cs="仿宋_GB2312" w:eastAsia="仿宋_GB2312"/>
                <w:sz w:val="28"/>
              </w:rPr>
              <w:t>校车管理办</w:t>
            </w:r>
            <w:r>
              <w:rPr>
                <w:rFonts w:ascii="仿宋_GB2312" w:hAnsi="仿宋_GB2312" w:cs="仿宋_GB2312" w:eastAsia="仿宋_GB2312"/>
                <w:sz w:val="28"/>
              </w:rPr>
              <w:t>公室将负责对校车</w:t>
            </w:r>
            <w:r>
              <w:rPr>
                <w:rFonts w:ascii="仿宋_GB2312" w:hAnsi="仿宋_GB2312" w:cs="仿宋_GB2312" w:eastAsia="仿宋_GB2312"/>
                <w:sz w:val="28"/>
              </w:rPr>
              <w:t>运营</w:t>
            </w:r>
            <w:r>
              <w:rPr>
                <w:rFonts w:ascii="仿宋_GB2312" w:hAnsi="仿宋_GB2312" w:cs="仿宋_GB2312" w:eastAsia="仿宋_GB2312"/>
                <w:sz w:val="28"/>
              </w:rPr>
              <w:t>服务提供单位的日常监督、管理、考核</w:t>
            </w:r>
            <w:r>
              <w:rPr>
                <w:rFonts w:ascii="仿宋_GB2312" w:hAnsi="仿宋_GB2312" w:cs="仿宋_GB2312" w:eastAsia="仿宋_GB2312"/>
                <w:sz w:val="28"/>
              </w:rPr>
              <w:t>，协调</w:t>
            </w:r>
            <w:r>
              <w:rPr>
                <w:rFonts w:ascii="仿宋_GB2312" w:hAnsi="仿宋_GB2312" w:cs="仿宋_GB2312" w:eastAsia="仿宋_GB2312"/>
                <w:sz w:val="28"/>
              </w:rPr>
              <w:t>，</w:t>
            </w:r>
            <w:r>
              <w:rPr>
                <w:rFonts w:ascii="仿宋_GB2312" w:hAnsi="仿宋_GB2312" w:cs="仿宋_GB2312" w:eastAsia="仿宋_GB2312"/>
                <w:sz w:val="28"/>
              </w:rPr>
              <w:t>定期督促</w:t>
            </w:r>
            <w:r>
              <w:rPr>
                <w:rFonts w:ascii="仿宋_GB2312" w:hAnsi="仿宋_GB2312" w:cs="仿宋_GB2312" w:eastAsia="仿宋_GB2312"/>
                <w:sz w:val="28"/>
              </w:rPr>
              <w:t>其</w:t>
            </w:r>
            <w:r>
              <w:rPr>
                <w:rFonts w:ascii="仿宋_GB2312" w:hAnsi="仿宋_GB2312" w:cs="仿宋_GB2312" w:eastAsia="仿宋_GB2312"/>
                <w:sz w:val="28"/>
              </w:rPr>
              <w:t>对校车从业人员进行岗位培训和技能培训。</w:t>
            </w:r>
            <w:r>
              <w:rPr>
                <w:rFonts w:ascii="仿宋_GB2312" w:hAnsi="仿宋_GB2312" w:cs="仿宋_GB2312" w:eastAsia="仿宋_GB2312"/>
              </w:rPr>
              <w:t xml:space="preserve"> </w:t>
            </w:r>
          </w:p>
          <w:p>
            <w:pPr>
              <w:pStyle w:val="null5"/>
              <w:spacing w:before="75"/>
              <w:ind w:right="105" w:firstLine="273"/>
              <w:jc w:val="left"/>
            </w:pPr>
            <w:r>
              <w:rPr>
                <w:rFonts w:ascii="仿宋_GB2312" w:hAnsi="仿宋_GB2312" w:cs="仿宋_GB2312" w:eastAsia="仿宋_GB2312"/>
                <w:sz w:val="28"/>
              </w:rPr>
              <w:t>4</w:t>
            </w:r>
            <w:r>
              <w:rPr>
                <w:rFonts w:ascii="仿宋_GB2312" w:hAnsi="仿宋_GB2312" w:cs="仿宋_GB2312" w:eastAsia="仿宋_GB2312"/>
                <w:sz w:val="28"/>
              </w:rPr>
              <w:t>、合同履行期间</w:t>
            </w:r>
            <w:r>
              <w:rPr>
                <w:rFonts w:ascii="仿宋_GB2312" w:hAnsi="仿宋_GB2312" w:cs="仿宋_GB2312" w:eastAsia="仿宋_GB2312"/>
                <w:sz w:val="28"/>
              </w:rPr>
              <w:t>,若国家</w:t>
            </w:r>
            <w:r>
              <w:rPr>
                <w:rFonts w:ascii="仿宋_GB2312" w:hAnsi="仿宋_GB2312" w:cs="仿宋_GB2312" w:eastAsia="仿宋_GB2312"/>
                <w:sz w:val="28"/>
              </w:rPr>
              <w:t>、</w:t>
            </w:r>
            <w:r>
              <w:rPr>
                <w:rFonts w:ascii="仿宋_GB2312" w:hAnsi="仿宋_GB2312" w:cs="仿宋_GB2312" w:eastAsia="仿宋_GB2312"/>
              </w:rPr>
              <w:t xml:space="preserve"> </w:t>
            </w:r>
            <w:r>
              <w:rPr>
                <w:rFonts w:ascii="仿宋_GB2312" w:hAnsi="仿宋_GB2312" w:cs="仿宋_GB2312" w:eastAsia="仿宋_GB2312"/>
                <w:sz w:val="28"/>
              </w:rPr>
              <w:t>自治区、</w:t>
            </w:r>
            <w:r>
              <w:rPr>
                <w:rFonts w:ascii="仿宋_GB2312" w:hAnsi="仿宋_GB2312" w:cs="仿宋_GB2312" w:eastAsia="仿宋_GB2312"/>
                <w:sz w:val="28"/>
              </w:rPr>
              <w:t>赤峰</w:t>
            </w:r>
            <w:r>
              <w:rPr>
                <w:rFonts w:ascii="仿宋_GB2312" w:hAnsi="仿宋_GB2312" w:cs="仿宋_GB2312" w:eastAsia="仿宋_GB2312"/>
                <w:sz w:val="28"/>
              </w:rPr>
              <w:t>市对校车政策有调整时</w:t>
            </w:r>
            <w:r>
              <w:rPr>
                <w:rFonts w:ascii="仿宋_GB2312" w:hAnsi="仿宋_GB2312" w:cs="仿宋_GB2312" w:eastAsia="仿宋_GB2312"/>
                <w:sz w:val="28"/>
              </w:rPr>
              <w:t>,</w:t>
            </w:r>
            <w:r>
              <w:rPr>
                <w:rFonts w:ascii="仿宋_GB2312" w:hAnsi="仿宋_GB2312" w:cs="仿宋_GB2312" w:eastAsia="仿宋_GB2312"/>
                <w:sz w:val="28"/>
              </w:rPr>
              <w:t>双方经协商可调整合同相关条款</w:t>
            </w:r>
            <w:r>
              <w:rPr>
                <w:rFonts w:ascii="仿宋_GB2312" w:hAnsi="仿宋_GB2312" w:cs="仿宋_GB2312" w:eastAsia="仿宋_GB2312"/>
                <w:sz w:val="28"/>
              </w:rPr>
              <w:t>,并签订补充协议</w:t>
            </w:r>
            <w:r>
              <w:rPr>
                <w:rFonts w:ascii="仿宋_GB2312" w:hAnsi="仿宋_GB2312" w:cs="仿宋_GB2312" w:eastAsia="仿宋_GB2312"/>
                <w:sz w:val="28"/>
              </w:rPr>
              <w:t>，</w:t>
            </w:r>
            <w:r>
              <w:rPr>
                <w:rFonts w:ascii="仿宋_GB2312" w:hAnsi="仿宋_GB2312" w:cs="仿宋_GB2312" w:eastAsia="仿宋_GB2312"/>
                <w:sz w:val="28"/>
              </w:rPr>
              <w:t>在</w:t>
            </w:r>
            <w:r>
              <w:rPr>
                <w:rFonts w:ascii="仿宋_GB2312" w:hAnsi="仿宋_GB2312" w:cs="仿宋_GB2312" w:eastAsia="仿宋_GB2312"/>
                <w:sz w:val="28"/>
              </w:rPr>
              <w:t>双方未达成书面协议前</w:t>
            </w:r>
            <w:r>
              <w:rPr>
                <w:rFonts w:ascii="仿宋_GB2312" w:hAnsi="仿宋_GB2312" w:cs="仿宋_GB2312" w:eastAsia="仿宋_GB2312"/>
                <w:sz w:val="28"/>
              </w:rPr>
              <w:t>,仍按</w:t>
            </w:r>
            <w:r>
              <w:rPr>
                <w:rFonts w:ascii="仿宋_GB2312" w:hAnsi="仿宋_GB2312" w:cs="仿宋_GB2312" w:eastAsia="仿宋_GB2312"/>
                <w:sz w:val="28"/>
              </w:rPr>
              <w:t>中标时签订的</w:t>
            </w:r>
            <w:r>
              <w:rPr>
                <w:rFonts w:ascii="仿宋_GB2312" w:hAnsi="仿宋_GB2312" w:cs="仿宋_GB2312" w:eastAsia="仿宋_GB2312"/>
                <w:sz w:val="28"/>
              </w:rPr>
              <w:t>合同履行。</w:t>
            </w:r>
          </w:p>
          <w:p>
            <w:pPr>
              <w:pStyle w:val="null5"/>
              <w:spacing w:before="75"/>
              <w:ind w:right="105" w:firstLine="273"/>
              <w:jc w:val="left"/>
            </w:pPr>
            <w:r>
              <w:rPr>
                <w:rFonts w:ascii="仿宋_GB2312" w:hAnsi="仿宋_GB2312" w:cs="仿宋_GB2312" w:eastAsia="仿宋_GB2312"/>
                <w:sz w:val="28"/>
              </w:rPr>
              <w:t>5</w:t>
            </w:r>
            <w:r>
              <w:rPr>
                <w:rFonts w:ascii="仿宋_GB2312" w:hAnsi="仿宋_GB2312" w:cs="仿宋_GB2312" w:eastAsia="仿宋_GB2312"/>
                <w:sz w:val="28"/>
              </w:rPr>
              <w:t>、供应商所提供的服务应符合《校车安全管理条例</w:t>
            </w:r>
            <w:r>
              <w:rPr>
                <w:rFonts w:ascii="仿宋_GB2312" w:hAnsi="仿宋_GB2312" w:cs="仿宋_GB2312" w:eastAsia="仿宋_GB2312"/>
                <w:sz w:val="28"/>
              </w:rPr>
              <w:t>》、</w:t>
            </w:r>
            <w:r>
              <w:rPr>
                <w:rFonts w:ascii="仿宋_GB2312" w:hAnsi="仿宋_GB2312" w:cs="仿宋_GB2312" w:eastAsia="仿宋_GB2312"/>
                <w:sz w:val="28"/>
              </w:rPr>
              <w:t>《内蒙古自治区校车安全管理条例实施办法（试行）》</w:t>
            </w:r>
            <w:r>
              <w:rPr>
                <w:rFonts w:ascii="仿宋_GB2312" w:hAnsi="仿宋_GB2312" w:cs="仿宋_GB2312" w:eastAsia="仿宋_GB2312"/>
                <w:sz w:val="28"/>
              </w:rPr>
              <w:t>、《赤峰市校车安全管理规定</w:t>
            </w:r>
            <w:r>
              <w:rPr>
                <w:rFonts w:ascii="仿宋_GB2312" w:hAnsi="仿宋_GB2312" w:cs="仿宋_GB2312" w:eastAsia="仿宋_GB2312"/>
                <w:sz w:val="28"/>
              </w:rPr>
              <w:t>》</w:t>
            </w:r>
            <w:r>
              <w:rPr>
                <w:rFonts w:ascii="仿宋_GB2312" w:hAnsi="仿宋_GB2312" w:cs="仿宋_GB2312" w:eastAsia="仿宋_GB2312"/>
                <w:sz w:val="28"/>
              </w:rPr>
              <w:t>的</w:t>
            </w:r>
            <w:r>
              <w:rPr>
                <w:rFonts w:ascii="仿宋_GB2312" w:hAnsi="仿宋_GB2312" w:cs="仿宋_GB2312" w:eastAsia="仿宋_GB2312"/>
                <w:sz w:val="28"/>
              </w:rPr>
              <w:t>相关要求。</w:t>
            </w:r>
          </w:p>
          <w:p>
            <w:pPr>
              <w:pStyle w:val="null5"/>
              <w:spacing w:before="75"/>
              <w:ind w:right="195" w:firstLine="588"/>
              <w:jc w:val="both"/>
            </w:pPr>
            <w:r>
              <w:rPr>
                <w:rFonts w:ascii="仿宋_GB2312" w:hAnsi="仿宋_GB2312" w:cs="仿宋_GB2312" w:eastAsia="仿宋_GB2312"/>
                <w:sz w:val="28"/>
              </w:rPr>
              <w:t>6、</w:t>
            </w:r>
            <w:r>
              <w:rPr>
                <w:rFonts w:ascii="仿宋_GB2312" w:hAnsi="仿宋_GB2312" w:cs="仿宋_GB2312" w:eastAsia="仿宋_GB2312"/>
                <w:sz w:val="28"/>
              </w:rPr>
              <w:t>供应商应具备以下条件，保证</w:t>
            </w:r>
            <w:r>
              <w:rPr>
                <w:rFonts w:ascii="仿宋_GB2312" w:hAnsi="仿宋_GB2312" w:cs="仿宋_GB2312" w:eastAsia="仿宋_GB2312"/>
                <w:sz w:val="28"/>
              </w:rPr>
              <w:t>校车</w:t>
            </w:r>
            <w:r>
              <w:rPr>
                <w:rFonts w:ascii="仿宋_GB2312" w:hAnsi="仿宋_GB2312" w:cs="仿宋_GB2312" w:eastAsia="仿宋_GB2312"/>
                <w:sz w:val="28"/>
              </w:rPr>
              <w:t>安全</w:t>
            </w:r>
            <w:r>
              <w:rPr>
                <w:rFonts w:ascii="仿宋_GB2312" w:hAnsi="仿宋_GB2312" w:cs="仿宋_GB2312" w:eastAsia="仿宋_GB2312"/>
                <w:sz w:val="28"/>
              </w:rPr>
              <w:t>运营管理：</w:t>
            </w:r>
          </w:p>
          <w:p>
            <w:pPr>
              <w:pStyle w:val="null5"/>
              <w:spacing w:before="120"/>
              <w:ind w:left="105" w:right="285" w:firstLine="453"/>
              <w:jc w:val="left"/>
            </w:pPr>
            <w:r>
              <w:rPr>
                <w:rFonts w:ascii="仿宋_GB2312" w:hAnsi="仿宋_GB2312" w:cs="仿宋_GB2312" w:eastAsia="仿宋_GB2312"/>
                <w:sz w:val="28"/>
              </w:rPr>
              <w:t>（</w:t>
            </w:r>
            <w:r>
              <w:rPr>
                <w:rFonts w:ascii="仿宋_GB2312" w:hAnsi="仿宋_GB2312" w:cs="仿宋_GB2312" w:eastAsia="仿宋_GB2312"/>
                <w:sz w:val="28"/>
              </w:rPr>
              <w:t>1）供应商须具有固定的办公场所，内设北斗导航系统监控室和从业人员培训电教室，至少配备2名北斗导航专职监控人员和2名车辆调度员。</w:t>
            </w:r>
          </w:p>
          <w:p>
            <w:pPr>
              <w:pStyle w:val="null5"/>
              <w:spacing w:before="75"/>
              <w:ind w:left="105" w:right="285" w:firstLine="454"/>
              <w:jc w:val="left"/>
            </w:pPr>
            <w:r>
              <w:rPr>
                <w:rFonts w:ascii="仿宋_GB2312" w:hAnsi="仿宋_GB2312" w:cs="仿宋_GB2312" w:eastAsia="仿宋_GB2312"/>
                <w:sz w:val="28"/>
              </w:rPr>
              <w:t>（</w:t>
            </w:r>
            <w:r>
              <w:rPr>
                <w:rFonts w:ascii="仿宋_GB2312" w:hAnsi="仿宋_GB2312" w:cs="仿宋_GB2312" w:eastAsia="仿宋_GB2312"/>
                <w:sz w:val="28"/>
              </w:rPr>
              <w:t>2）中标后供应商须设立封闭式停车场，并配有校车消防设施、安全检测设施等例检设备，配备2名车辆安全例检人员。</w:t>
            </w:r>
          </w:p>
          <w:p>
            <w:pPr>
              <w:pStyle w:val="null5"/>
              <w:spacing w:before="75"/>
              <w:ind w:left="105" w:right="285" w:firstLine="451"/>
              <w:jc w:val="left"/>
            </w:pPr>
            <w:r>
              <w:rPr>
                <w:rFonts w:ascii="仿宋_GB2312" w:hAnsi="仿宋_GB2312" w:cs="仿宋_GB2312" w:eastAsia="仿宋_GB2312"/>
                <w:sz w:val="28"/>
              </w:rPr>
              <w:t>（</w:t>
            </w:r>
            <w:r>
              <w:rPr>
                <w:rFonts w:ascii="仿宋_GB2312" w:hAnsi="仿宋_GB2312" w:cs="仿宋_GB2312" w:eastAsia="仿宋_GB2312"/>
                <w:sz w:val="28"/>
              </w:rPr>
              <w:t>3）中标后供应商须设立机动车维修厂或与具有相应资质的维修厂进行合作，签</w:t>
            </w:r>
            <w:r>
              <w:rPr>
                <w:rFonts w:ascii="仿宋_GB2312" w:hAnsi="仿宋_GB2312" w:cs="仿宋_GB2312" w:eastAsia="仿宋_GB2312"/>
                <w:sz w:val="28"/>
              </w:rPr>
              <w:t>订维修保养协议，负责车辆日常维修保养。</w:t>
            </w:r>
          </w:p>
          <w:p>
            <w:pPr>
              <w:pStyle w:val="null5"/>
              <w:spacing w:before="120"/>
              <w:ind w:firstLine="588"/>
              <w:jc w:val="left"/>
            </w:pPr>
            <w:r>
              <w:rPr>
                <w:rFonts w:ascii="仿宋_GB2312" w:hAnsi="仿宋_GB2312" w:cs="仿宋_GB2312" w:eastAsia="仿宋_GB2312"/>
                <w:sz w:val="28"/>
              </w:rPr>
              <w:t>（</w:t>
            </w:r>
            <w:r>
              <w:rPr>
                <w:rFonts w:ascii="仿宋_GB2312" w:hAnsi="仿宋_GB2312" w:cs="仿宋_GB2312" w:eastAsia="仿宋_GB2312"/>
                <w:sz w:val="28"/>
              </w:rPr>
              <w:t>4）中标后供应商须设立安全管理组织机构</w:t>
            </w:r>
            <w:r>
              <w:rPr>
                <w:rFonts w:ascii="仿宋_GB2312" w:hAnsi="仿宋_GB2312" w:cs="仿宋_GB2312" w:eastAsia="仿宋_GB2312"/>
                <w:sz w:val="28"/>
              </w:rPr>
              <w:t>，</w:t>
            </w:r>
            <w:r>
              <w:rPr>
                <w:rFonts w:ascii="仿宋_GB2312" w:hAnsi="仿宋_GB2312" w:cs="仿宋_GB2312" w:eastAsia="仿宋_GB2312"/>
                <w:sz w:val="28"/>
              </w:rPr>
              <w:t>并配备</w:t>
            </w:r>
            <w:r>
              <w:rPr>
                <w:rFonts w:ascii="仿宋_GB2312" w:hAnsi="仿宋_GB2312" w:cs="仿宋_GB2312" w:eastAsia="仿宋_GB2312"/>
                <w:sz w:val="28"/>
              </w:rPr>
              <w:t>2名以上专职安全管理人员。</w:t>
            </w:r>
          </w:p>
          <w:p>
            <w:pPr>
              <w:pStyle w:val="null5"/>
              <w:spacing w:before="120"/>
              <w:ind w:right="105" w:firstLine="588"/>
              <w:jc w:val="left"/>
            </w:pP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）校车安装具有行驶记录功能的卫星定位装置</w:t>
            </w:r>
            <w:r>
              <w:rPr>
                <w:rFonts w:ascii="仿宋_GB2312" w:hAnsi="仿宋_GB2312" w:cs="仿宋_GB2312" w:eastAsia="仿宋_GB2312"/>
                <w:sz w:val="28"/>
              </w:rPr>
              <w:t>。车上配足有效应急设备（灭火器、救生锤、</w:t>
            </w:r>
            <w:r>
              <w:rPr>
                <w:rFonts w:ascii="仿宋_GB2312" w:hAnsi="仿宋_GB2312" w:cs="仿宋_GB2312" w:eastAsia="仿宋_GB2312"/>
                <w:sz w:val="28"/>
              </w:rPr>
              <w:t>三角架、安全警示牌、急救包等</w:t>
            </w:r>
            <w:r>
              <w:rPr>
                <w:rFonts w:ascii="仿宋_GB2312" w:hAnsi="仿宋_GB2312" w:cs="仿宋_GB2312" w:eastAsia="仿宋_GB2312"/>
                <w:sz w:val="28"/>
              </w:rPr>
              <w:t>），</w:t>
            </w:r>
            <w:r>
              <w:rPr>
                <w:rFonts w:ascii="仿宋_GB2312" w:hAnsi="仿宋_GB2312" w:cs="仿宋_GB2312" w:eastAsia="仿宋_GB2312"/>
                <w:sz w:val="28"/>
              </w:rPr>
              <w:t>车厢内显著位置公示监督和投诉举报电话。保证车辆和各项</w:t>
            </w:r>
            <w:r>
              <w:rPr>
                <w:rFonts w:ascii="仿宋_GB2312" w:hAnsi="仿宋_GB2312" w:cs="仿宋_GB2312" w:eastAsia="仿宋_GB2312"/>
                <w:sz w:val="28"/>
              </w:rPr>
              <w:t>技术性能处于良好状态，严</w:t>
            </w:r>
            <w:r>
              <w:rPr>
                <w:rFonts w:ascii="仿宋_GB2312" w:hAnsi="仿宋_GB2312" w:cs="仿宋_GB2312" w:eastAsia="仿宋_GB2312"/>
                <w:sz w:val="28"/>
              </w:rPr>
              <w:t>禁用有问题的车辆接送学生，否则，采购人有权解除合同。一切</w:t>
            </w:r>
            <w:r>
              <w:rPr>
                <w:rFonts w:ascii="仿宋_GB2312" w:hAnsi="仿宋_GB2312" w:cs="仿宋_GB2312" w:eastAsia="仿宋_GB2312"/>
                <w:sz w:val="28"/>
              </w:rPr>
              <w:t>责任、损失由供应商负</w:t>
            </w:r>
            <w:r>
              <w:rPr>
                <w:rFonts w:ascii="仿宋_GB2312" w:hAnsi="仿宋_GB2312" w:cs="仿宋_GB2312" w:eastAsia="仿宋_GB2312"/>
                <w:sz w:val="28"/>
              </w:rPr>
              <w:t>责并赔偿。</w:t>
            </w:r>
          </w:p>
          <w:p>
            <w:pPr>
              <w:pStyle w:val="null5"/>
              <w:ind w:firstLine="588"/>
              <w:jc w:val="left"/>
            </w:pPr>
            <w:r>
              <w:rPr>
                <w:rFonts w:ascii="仿宋_GB2312" w:hAnsi="仿宋_GB2312" w:cs="仿宋_GB2312" w:eastAsia="仿宋_GB2312"/>
                <w:sz w:val="28"/>
                <w:color w:val="000000"/>
              </w:rPr>
              <w:t>7、</w:t>
            </w:r>
            <w:r>
              <w:rPr>
                <w:rFonts w:ascii="仿宋_GB2312" w:hAnsi="仿宋_GB2312" w:cs="仿宋_GB2312" w:eastAsia="仿宋_GB2312"/>
                <w:sz w:val="28"/>
                <w:color w:val="000000"/>
              </w:rPr>
              <w:t>供应商依据</w:t>
            </w:r>
            <w:r>
              <w:rPr>
                <w:rFonts w:ascii="仿宋_GB2312" w:hAnsi="仿宋_GB2312" w:cs="仿宋_GB2312" w:eastAsia="仿宋_GB2312"/>
                <w:sz w:val="28"/>
                <w:color w:val="000000"/>
              </w:rPr>
              <w:t>相</w:t>
            </w:r>
            <w:r>
              <w:rPr>
                <w:rFonts w:ascii="仿宋_GB2312" w:hAnsi="仿宋_GB2312" w:cs="仿宋_GB2312" w:eastAsia="仿宋_GB2312"/>
                <w:sz w:val="28"/>
                <w:color w:val="000000"/>
              </w:rPr>
              <w:t>关法律法规规定，必须每半年对校车进行一次安全技术检验</w:t>
            </w:r>
            <w:r>
              <w:rPr>
                <w:rFonts w:ascii="仿宋_GB2312" w:hAnsi="仿宋_GB2312" w:cs="仿宋_GB2312" w:eastAsia="仿宋_GB2312"/>
                <w:sz w:val="28"/>
                <w:color w:val="000000"/>
              </w:rPr>
              <w:t>，</w:t>
            </w:r>
            <w:r>
              <w:rPr>
                <w:rFonts w:ascii="仿宋_GB2312" w:hAnsi="仿宋_GB2312" w:cs="仿宋_GB2312" w:eastAsia="仿宋_GB2312"/>
                <w:sz w:val="28"/>
                <w:color w:val="000000"/>
              </w:rPr>
              <w:t>如发现车辆有不适</w:t>
            </w:r>
            <w:r>
              <w:rPr>
                <w:rFonts w:ascii="仿宋_GB2312" w:hAnsi="仿宋_GB2312" w:cs="仿宋_GB2312" w:eastAsia="仿宋_GB2312"/>
                <w:sz w:val="28"/>
                <w:color w:val="000000"/>
              </w:rPr>
              <w:t>合</w:t>
            </w:r>
            <w:r>
              <w:rPr>
                <w:rFonts w:ascii="仿宋_GB2312" w:hAnsi="仿宋_GB2312" w:cs="仿宋_GB2312" w:eastAsia="仿宋_GB2312"/>
                <w:sz w:val="28"/>
                <w:color w:val="000000"/>
              </w:rPr>
              <w:t>运</w:t>
            </w:r>
            <w:r>
              <w:rPr>
                <w:rFonts w:ascii="仿宋_GB2312" w:hAnsi="仿宋_GB2312" w:cs="仿宋_GB2312" w:eastAsia="仿宋_GB2312"/>
                <w:sz w:val="28"/>
                <w:color w:val="000000"/>
              </w:rPr>
              <w:t>行的</w:t>
            </w:r>
            <w:r>
              <w:rPr>
                <w:rFonts w:ascii="仿宋_GB2312" w:hAnsi="仿宋_GB2312" w:cs="仿宋_GB2312" w:eastAsia="仿宋_GB2312"/>
                <w:sz w:val="28"/>
                <w:color w:val="000000"/>
              </w:rPr>
              <w:t>情况时应当</w:t>
            </w:r>
            <w:r>
              <w:rPr>
                <w:rFonts w:ascii="仿宋_GB2312" w:hAnsi="仿宋_GB2312" w:cs="仿宋_GB2312" w:eastAsia="仿宋_GB2312"/>
                <w:sz w:val="28"/>
                <w:color w:val="000000"/>
              </w:rPr>
              <w:t>及</w:t>
            </w:r>
            <w:r>
              <w:rPr>
                <w:rFonts w:ascii="仿宋_GB2312" w:hAnsi="仿宋_GB2312" w:cs="仿宋_GB2312" w:eastAsia="仿宋_GB2312"/>
                <w:sz w:val="28"/>
                <w:color w:val="000000"/>
              </w:rPr>
              <w:t>时进行车检，保证校车处于</w:t>
            </w:r>
            <w:r>
              <w:rPr>
                <w:rFonts w:ascii="仿宋_GB2312" w:hAnsi="仿宋_GB2312" w:cs="仿宋_GB2312" w:eastAsia="仿宋_GB2312"/>
                <w:sz w:val="28"/>
                <w:color w:val="000000"/>
              </w:rPr>
              <w:t>安全适运状态，防止发</w:t>
            </w:r>
            <w:r>
              <w:rPr>
                <w:rFonts w:ascii="仿宋_GB2312" w:hAnsi="仿宋_GB2312" w:cs="仿宋_GB2312" w:eastAsia="仿宋_GB2312"/>
                <w:sz w:val="28"/>
                <w:color w:val="000000"/>
              </w:rPr>
              <w:t>生安全事故</w:t>
            </w:r>
            <w:r>
              <w:rPr>
                <w:rFonts w:ascii="仿宋_GB2312" w:hAnsi="仿宋_GB2312" w:cs="仿宋_GB2312" w:eastAsia="仿宋_GB2312"/>
                <w:sz w:val="28"/>
                <w:color w:val="000000"/>
              </w:rPr>
              <w:t>，</w:t>
            </w:r>
            <w:r>
              <w:rPr>
                <w:rFonts w:ascii="仿宋_GB2312" w:hAnsi="仿宋_GB2312" w:cs="仿宋_GB2312" w:eastAsia="仿宋_GB2312"/>
                <w:sz w:val="28"/>
                <w:color w:val="000000"/>
              </w:rPr>
              <w:t>供应商</w:t>
            </w:r>
            <w:r>
              <w:rPr>
                <w:rFonts w:ascii="仿宋_GB2312" w:hAnsi="仿宋_GB2312" w:cs="仿宋_GB2312" w:eastAsia="仿宋_GB2312"/>
                <w:sz w:val="28"/>
                <w:color w:val="000000"/>
              </w:rPr>
              <w:t>除按标准缴足法定强制险、赤峰市安全生产责任保</w:t>
            </w:r>
            <w:r>
              <w:rPr>
                <w:rFonts w:ascii="仿宋_GB2312" w:hAnsi="仿宋_GB2312" w:cs="仿宋_GB2312" w:eastAsia="仿宋_GB2312"/>
                <w:sz w:val="28"/>
                <w:color w:val="000000"/>
              </w:rPr>
              <w:t>险外，还需购买每座保额不低于</w:t>
            </w:r>
            <w:r>
              <w:rPr>
                <w:rFonts w:ascii="仿宋_GB2312" w:hAnsi="仿宋_GB2312" w:cs="仿宋_GB2312" w:eastAsia="仿宋_GB2312"/>
                <w:sz w:val="28"/>
                <w:color w:val="000000"/>
              </w:rPr>
              <w:t>1</w:t>
            </w:r>
            <w:r>
              <w:rPr>
                <w:rFonts w:ascii="仿宋_GB2312" w:hAnsi="仿宋_GB2312" w:cs="仿宋_GB2312" w:eastAsia="仿宋_GB2312"/>
                <w:sz w:val="28"/>
                <w:color w:val="000000"/>
              </w:rPr>
              <w:t>50</w:t>
            </w:r>
            <w:r>
              <w:rPr>
                <w:rFonts w:ascii="仿宋_GB2312" w:hAnsi="仿宋_GB2312" w:cs="仿宋_GB2312" w:eastAsia="仿宋_GB2312"/>
                <w:sz w:val="28"/>
                <w:color w:val="000000"/>
              </w:rPr>
              <w:t>万元的座位险和不低于</w:t>
            </w:r>
            <w:r>
              <w:rPr>
                <w:rFonts w:ascii="仿宋_GB2312" w:hAnsi="仿宋_GB2312" w:cs="仿宋_GB2312" w:eastAsia="仿宋_GB2312"/>
                <w:sz w:val="28"/>
                <w:color w:val="000000"/>
              </w:rPr>
              <w:t>200万元的商业三者险</w:t>
            </w:r>
            <w:r>
              <w:rPr>
                <w:rFonts w:ascii="仿宋_GB2312" w:hAnsi="仿宋_GB2312" w:cs="仿宋_GB2312" w:eastAsia="仿宋_GB2312"/>
                <w:sz w:val="28"/>
                <w:color w:val="000000"/>
              </w:rPr>
              <w:t>，</w:t>
            </w:r>
            <w:r>
              <w:rPr>
                <w:rFonts w:ascii="仿宋_GB2312" w:hAnsi="仿宋_GB2312" w:cs="仿宋_GB2312" w:eastAsia="仿宋_GB2312"/>
                <w:sz w:val="28"/>
                <w:color w:val="000000"/>
              </w:rPr>
              <w:t>校车必须经公安、交警等</w:t>
            </w:r>
            <w:r>
              <w:rPr>
                <w:rFonts w:ascii="仿宋_GB2312" w:hAnsi="仿宋_GB2312" w:cs="仿宋_GB2312" w:eastAsia="仿宋_GB2312"/>
                <w:sz w:val="28"/>
                <w:color w:val="000000"/>
              </w:rPr>
              <w:t>部门检验合格，保证各项手续、证件齐全，经</w:t>
            </w:r>
            <w:r>
              <w:rPr>
                <w:rFonts w:ascii="仿宋_GB2312" w:hAnsi="仿宋_GB2312" w:cs="仿宋_GB2312" w:eastAsia="仿宋_GB2312"/>
                <w:sz w:val="28"/>
                <w:color w:val="000000"/>
              </w:rPr>
              <w:t>采购人</w:t>
            </w:r>
            <w:r>
              <w:rPr>
                <w:rFonts w:ascii="仿宋_GB2312" w:hAnsi="仿宋_GB2312" w:cs="仿宋_GB2312" w:eastAsia="仿宋_GB2312"/>
                <w:sz w:val="28"/>
                <w:color w:val="000000"/>
              </w:rPr>
              <w:t>核</w:t>
            </w:r>
            <w:r>
              <w:rPr>
                <w:rFonts w:ascii="仿宋_GB2312" w:hAnsi="仿宋_GB2312" w:cs="仿宋_GB2312" w:eastAsia="仿宋_GB2312"/>
                <w:sz w:val="28"/>
                <w:color w:val="000000"/>
              </w:rPr>
              <w:t>验各项手续齐全</w:t>
            </w:r>
            <w:r>
              <w:rPr>
                <w:rFonts w:ascii="仿宋_GB2312" w:hAnsi="仿宋_GB2312" w:cs="仿宋_GB2312" w:eastAsia="仿宋_GB2312"/>
                <w:sz w:val="28"/>
                <w:color w:val="000000"/>
              </w:rPr>
              <w:t>后</w:t>
            </w:r>
            <w:r>
              <w:rPr>
                <w:rFonts w:ascii="仿宋_GB2312" w:hAnsi="仿宋_GB2312" w:cs="仿宋_GB2312" w:eastAsia="仿宋_GB2312"/>
                <w:sz w:val="28"/>
                <w:color w:val="000000"/>
              </w:rPr>
              <w:t>方可运营。</w:t>
            </w:r>
          </w:p>
          <w:p>
            <w:pPr>
              <w:pStyle w:val="null5"/>
              <w:ind w:firstLine="588"/>
              <w:jc w:val="left"/>
            </w:pPr>
            <w:r>
              <w:rPr>
                <w:rFonts w:ascii="仿宋_GB2312" w:hAnsi="仿宋_GB2312" w:cs="仿宋_GB2312" w:eastAsia="仿宋_GB2312"/>
                <w:sz w:val="28"/>
                <w:color w:val="000000"/>
              </w:rPr>
              <w:t>8、</w:t>
            </w:r>
            <w:r>
              <w:rPr>
                <w:rFonts w:ascii="仿宋_GB2312" w:hAnsi="仿宋_GB2312" w:cs="仿宋_GB2312" w:eastAsia="仿宋_GB2312"/>
                <w:sz w:val="28"/>
                <w:color w:val="000000"/>
              </w:rPr>
              <w:t>供应商建立健全校车安全管理制度，加强校车出车前的安全技术检查，定期进行安全维护</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、修理，保证校车随时处于良好适运状态，及时建立安全维</w:t>
            </w:r>
            <w:r>
              <w:rPr>
                <w:rFonts w:ascii="仿宋_GB2312" w:hAnsi="仿宋_GB2312" w:cs="仿宋_GB2312" w:eastAsia="仿宋_GB2312"/>
                <w:sz w:val="28"/>
                <w:color w:val="000000"/>
              </w:rPr>
              <w:t>护档案</w:t>
            </w:r>
            <w:r>
              <w:rPr>
                <w:rFonts w:ascii="仿宋_GB2312" w:hAnsi="仿宋_GB2312" w:cs="仿宋_GB2312" w:eastAsia="仿宋_GB2312"/>
                <w:sz w:val="28"/>
                <w:color w:val="000000"/>
              </w:rPr>
              <w:t>，</w:t>
            </w:r>
            <w:r>
              <w:rPr>
                <w:rFonts w:ascii="仿宋_GB2312" w:hAnsi="仿宋_GB2312" w:cs="仿宋_GB2312" w:eastAsia="仿宋_GB2312"/>
                <w:sz w:val="28"/>
                <w:color w:val="000000"/>
              </w:rPr>
              <w:t>负责车辆日常维修保养，保持车辆内外整洁</w:t>
            </w:r>
            <w:r>
              <w:rPr>
                <w:rFonts w:ascii="仿宋_GB2312" w:hAnsi="仿宋_GB2312" w:cs="仿宋_GB2312" w:eastAsia="仿宋_GB2312"/>
                <w:sz w:val="28"/>
                <w:color w:val="000000"/>
              </w:rPr>
              <w:t>，并承担车辆维修、耗油、保养费用、罚款以及司机和照管员工资等各项费用。</w:t>
            </w:r>
          </w:p>
          <w:p>
            <w:pPr>
              <w:pStyle w:val="null5"/>
              <w:ind w:firstLine="588"/>
              <w:jc w:val="left"/>
            </w:pPr>
            <w:r>
              <w:rPr>
                <w:rFonts w:ascii="仿宋_GB2312" w:hAnsi="仿宋_GB2312" w:cs="仿宋_GB2312" w:eastAsia="仿宋_GB2312"/>
                <w:sz w:val="28"/>
                <w:color w:val="000000"/>
              </w:rPr>
              <w:t>9、</w:t>
            </w:r>
            <w:r>
              <w:rPr>
                <w:rFonts w:ascii="仿宋_GB2312" w:hAnsi="仿宋_GB2312" w:cs="仿宋_GB2312" w:eastAsia="仿宋_GB2312"/>
                <w:sz w:val="28"/>
                <w:color w:val="000000"/>
              </w:rPr>
              <w:t>供应商</w:t>
            </w:r>
            <w:r>
              <w:rPr>
                <w:rFonts w:ascii="仿宋_GB2312" w:hAnsi="仿宋_GB2312" w:cs="仿宋_GB2312" w:eastAsia="仿宋_GB2312"/>
                <w:sz w:val="28"/>
                <w:color w:val="000000"/>
              </w:rPr>
              <w:t>应</w:t>
            </w:r>
            <w:r>
              <w:rPr>
                <w:rFonts w:ascii="仿宋_GB2312" w:hAnsi="仿宋_GB2312" w:cs="仿宋_GB2312" w:eastAsia="仿宋_GB2312"/>
                <w:sz w:val="28"/>
                <w:color w:val="000000"/>
              </w:rPr>
              <w:t>聘用取得校车驾驶资质的驾驶人，驾驶人应具备以下条件</w:t>
            </w:r>
            <w:r>
              <w:rPr>
                <w:rFonts w:ascii="仿宋_GB2312" w:hAnsi="仿宋_GB2312" w:cs="仿宋_GB2312" w:eastAsia="仿宋_GB2312"/>
                <w:sz w:val="28"/>
                <w:color w:val="000000"/>
              </w:rPr>
              <w:t>:驾驶人具有相应准驾车型3年以上安全驾驶经历;最近3个记分周期内无记满12分记录;最近三年内无致人重伤、死亡的交通事故记录;具备良好的职业道德,</w:t>
            </w:r>
            <w:r>
              <w:rPr>
                <w:rFonts w:ascii="仿宋_GB2312" w:hAnsi="仿宋_GB2312" w:cs="仿宋_GB2312" w:eastAsia="仿宋_GB2312"/>
                <w:sz w:val="28"/>
                <w:color w:val="000000"/>
              </w:rPr>
              <w:t>无犯罪记录，身体健康</w:t>
            </w:r>
            <w:r>
              <w:rPr>
                <w:rFonts w:ascii="仿宋_GB2312" w:hAnsi="仿宋_GB2312" w:cs="仿宋_GB2312" w:eastAsia="仿宋_GB2312"/>
                <w:sz w:val="28"/>
                <w:color w:val="000000"/>
              </w:rPr>
              <w:t>的</w:t>
            </w:r>
            <w:r>
              <w:rPr>
                <w:rFonts w:ascii="仿宋_GB2312" w:hAnsi="仿宋_GB2312" w:cs="仿宋_GB2312" w:eastAsia="仿宋_GB2312"/>
                <w:sz w:val="28"/>
                <w:color w:val="000000"/>
              </w:rPr>
              <w:t>25--60周岁公民</w:t>
            </w:r>
            <w:r>
              <w:rPr>
                <w:rFonts w:ascii="仿宋_GB2312" w:hAnsi="仿宋_GB2312" w:cs="仿宋_GB2312" w:eastAsia="仿宋_GB2312"/>
                <w:sz w:val="28"/>
                <w:color w:val="000000"/>
              </w:rPr>
              <w:t>，</w:t>
            </w:r>
            <w:r>
              <w:rPr>
                <w:rFonts w:ascii="仿宋_GB2312" w:hAnsi="仿宋_GB2312" w:cs="仿宋_GB2312" w:eastAsia="仿宋_GB2312"/>
                <w:sz w:val="28"/>
                <w:color w:val="000000"/>
              </w:rPr>
              <w:t>要为每辆校车配备符合要求的随车照管</w:t>
            </w:r>
            <w:r>
              <w:rPr>
                <w:rFonts w:ascii="仿宋_GB2312" w:hAnsi="仿宋_GB2312" w:cs="仿宋_GB2312" w:eastAsia="仿宋_GB2312"/>
                <w:sz w:val="28"/>
                <w:color w:val="000000"/>
              </w:rPr>
              <w:t>人员。</w:t>
            </w:r>
          </w:p>
          <w:p>
            <w:pPr>
              <w:pStyle w:val="null5"/>
              <w:ind w:firstLine="588"/>
              <w:jc w:val="left"/>
            </w:pPr>
            <w:r>
              <w:rPr>
                <w:rFonts w:ascii="仿宋_GB2312" w:hAnsi="仿宋_GB2312" w:cs="仿宋_GB2312" w:eastAsia="仿宋_GB2312"/>
                <w:sz w:val="28"/>
                <w:color w:val="000000"/>
              </w:rPr>
              <w:t>10、</w:t>
            </w:r>
            <w:r>
              <w:rPr>
                <w:rFonts w:ascii="仿宋_GB2312" w:hAnsi="仿宋_GB2312" w:cs="仿宋_GB2312" w:eastAsia="仿宋_GB2312"/>
                <w:sz w:val="28"/>
                <w:color w:val="000000"/>
              </w:rPr>
              <w:t>供应商要严格接受采购人的管理和考核，按要求及时上交车辆及司乘人员的相关证件和材料，严格按照约定及要求接送学生</w:t>
            </w:r>
            <w:r>
              <w:rPr>
                <w:rFonts w:ascii="仿宋_GB2312" w:hAnsi="仿宋_GB2312" w:cs="仿宋_GB2312" w:eastAsia="仿宋_GB2312"/>
                <w:sz w:val="28"/>
                <w:color w:val="000000"/>
              </w:rPr>
              <w:t>。</w:t>
            </w:r>
          </w:p>
          <w:p>
            <w:pPr>
              <w:pStyle w:val="null5"/>
              <w:ind w:firstLine="588"/>
              <w:jc w:val="left"/>
            </w:pPr>
            <w:r>
              <w:rPr>
                <w:rFonts w:ascii="仿宋_GB2312" w:hAnsi="仿宋_GB2312" w:cs="仿宋_GB2312" w:eastAsia="仿宋_GB2312"/>
                <w:sz w:val="28"/>
                <w:color w:val="000000"/>
              </w:rPr>
              <w:t>11、</w:t>
            </w:r>
            <w:r>
              <w:rPr>
                <w:rFonts w:ascii="仿宋_GB2312" w:hAnsi="仿宋_GB2312" w:cs="仿宋_GB2312" w:eastAsia="仿宋_GB2312"/>
                <w:sz w:val="28"/>
                <w:color w:val="000000"/>
              </w:rPr>
              <w:t>供应商对校车</w:t>
            </w:r>
            <w:r>
              <w:rPr>
                <w:rFonts w:ascii="仿宋_GB2312" w:hAnsi="仿宋_GB2312" w:cs="仿宋_GB2312" w:eastAsia="仿宋_GB2312"/>
                <w:sz w:val="28"/>
                <w:color w:val="000000"/>
              </w:rPr>
              <w:t>运营</w:t>
            </w:r>
            <w:r>
              <w:rPr>
                <w:rFonts w:ascii="仿宋_GB2312" w:hAnsi="仿宋_GB2312" w:cs="仿宋_GB2312" w:eastAsia="仿宋_GB2312"/>
                <w:sz w:val="28"/>
                <w:color w:val="000000"/>
              </w:rPr>
              <w:t>安全负有主体责任，政府负有监管责任。在校车营运期间造成的人身伤亡及财产损失，由此引发的一切责任由供应商负责并赔偿</w:t>
            </w:r>
            <w:r>
              <w:rPr>
                <w:rFonts w:ascii="仿宋_GB2312" w:hAnsi="仿宋_GB2312" w:cs="仿宋_GB2312" w:eastAsia="仿宋_GB2312"/>
                <w:sz w:val="28"/>
                <w:color w:val="000000"/>
              </w:rPr>
              <w:t>，</w:t>
            </w:r>
            <w:r>
              <w:rPr>
                <w:rFonts w:ascii="仿宋_GB2312" w:hAnsi="仿宋_GB2312" w:cs="仿宋_GB2312" w:eastAsia="仿宋_GB2312"/>
                <w:sz w:val="28"/>
                <w:color w:val="000000"/>
              </w:rPr>
              <w:t>供应商在非工作期间，不准使用校车专用标识、标志，不准用校车为其他单位或个</w:t>
            </w:r>
            <w:r>
              <w:rPr>
                <w:rFonts w:ascii="仿宋_GB2312" w:hAnsi="仿宋_GB2312" w:cs="仿宋_GB2312" w:eastAsia="仿宋_GB2312"/>
                <w:sz w:val="28"/>
                <w:color w:val="000000"/>
              </w:rPr>
              <w:t>人从事经营活动。</w:t>
            </w:r>
          </w:p>
          <w:p>
            <w:pPr>
              <w:pStyle w:val="null5"/>
              <w:ind w:firstLine="580"/>
              <w:jc w:val="left"/>
            </w:pPr>
            <w:r>
              <w:rPr>
                <w:rFonts w:ascii="仿宋_GB2312" w:hAnsi="仿宋_GB2312" w:cs="仿宋_GB2312" w:eastAsia="仿宋_GB2312"/>
                <w:sz w:val="28"/>
                <w:color w:val="000000"/>
              </w:rPr>
              <w:t>12、供应商</w:t>
            </w:r>
            <w:r>
              <w:rPr>
                <w:rFonts w:ascii="仿宋_GB2312" w:hAnsi="仿宋_GB2312" w:cs="仿宋_GB2312" w:eastAsia="仿宋_GB2312"/>
                <w:sz w:val="28"/>
                <w:color w:val="000000"/>
              </w:rPr>
              <w:t>要按规定配齐所需的专职人员，与人力资源部门建立快捷有效的人员聘任</w:t>
            </w:r>
            <w:r>
              <w:rPr>
                <w:rFonts w:ascii="仿宋_GB2312" w:hAnsi="仿宋_GB2312" w:cs="仿宋_GB2312" w:eastAsia="仿宋_GB2312"/>
                <w:sz w:val="28"/>
                <w:color w:val="000000"/>
              </w:rPr>
              <w:t>渠道。</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15.00%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技术部分62.00分</w:t>
            </w:r>
          </w:p>
          <w:p>
            <w:pPr>
              <w:pStyle w:val="null5"/>
              <w:jc w:val="left"/>
            </w:pPr>
            <w:r>
              <w:rPr>
                <w:rFonts w:ascii="仿宋_GB2312" w:hAnsi="仿宋_GB2312" w:cs="仿宋_GB2312" w:eastAsia="仿宋_GB2312"/>
              </w:rPr>
              <w:t>商务部分18.00分</w:t>
            </w:r>
          </w:p>
          <w:p>
            <w:pPr>
              <w:pStyle w:val="null5"/>
              <w:jc w:val="left"/>
            </w:pPr>
            <w:r>
              <w:rPr>
                <w:rFonts w:ascii="仿宋_GB2312" w:hAnsi="仿宋_GB2312" w:cs="仿宋_GB2312" w:eastAsia="仿宋_GB2312"/>
              </w:rPr>
              <w:t>报价得分20.00分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管理制度</w:t>
            </w:r>
          </w:p>
        </w:tc>
        <w:tc>
          <w:tcPr>
            <w:tcW w:type="dxa" w:w="3115"/>
          </w:tcPr>
          <w:p>
            <w:pPr>
              <w:pStyle w:val="null5"/>
              <w:jc w:val="left"/>
            </w:pPr>
            <w:r>
              <w:rPr>
                <w:rFonts w:ascii="仿宋_GB2312" w:hAnsi="仿宋_GB2312" w:cs="仿宋_GB2312" w:eastAsia="仿宋_GB2312"/>
              </w:rPr>
              <w:t>评委根据投标文件中提供的管理制度进行综合评分。根据管理制度是否内容齐全、职责划分是否明确，工作规范是否可行、监管措施是否得力、 工作流程是否清晰科学等进行评审。管理制度科学，内容齐全、职责划分明确，工作规范可行、监管措施得力、工作流程明确、具体且有针对性，完全满足项目管理需求，得10分；管理制度齐全，职责划分、工作规范、监管措施、工作流程清晰，满足项目管理需求，得7分；有管理制度，能体现职责划分、工作规范、监管措施、工作流程，但需要进一步细化具体内容 ,基本满足项目管理需求，得4分；管理制度不合理或未提供管理制度的,不得分。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安全管理方案</w:t>
            </w:r>
          </w:p>
        </w:tc>
        <w:tc>
          <w:tcPr>
            <w:tcW w:type="dxa" w:w="3115"/>
          </w:tcPr>
          <w:p>
            <w:pPr>
              <w:pStyle w:val="null5"/>
              <w:jc w:val="left"/>
            </w:pPr>
            <w:r>
              <w:rPr>
                <w:rFonts w:ascii="仿宋_GB2312" w:hAnsi="仿宋_GB2312" w:cs="仿宋_GB2312" w:eastAsia="仿宋_GB2312"/>
              </w:rPr>
              <w:t>加强校车安全管理，制定安全管理方案，具体包括车辆安全管理、行车调度管理、校车维护保养管理、乘车学生看护管理等。按以下两个方面进行评分： 一、车辆安全管理、行车调度管理、校车维护保养管理：方案内容 科学、全面、详尽，针对性强，得5分；有车辆安全管理、行车调度管理、校车维护保养管理方案，但需要进一步细化，得3分；有车辆安全管理 、行车调度管理、校车维护保养管理方案中的部分内容，有待进一步补充完整，得1分；方案不合理或未提供方案的，不得分。二、乘车学生看护管理：方案全面、有针对性、切实可行，提供了详细的看护管理计划的，得5分；方案具备可操作性，提供了看护管理计划，但需要细化的，得3分; 提供了部分方案，需要进一步充完整的，得1分。内容不合理或未提供的，不得分。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应急处理方案</w:t>
            </w:r>
          </w:p>
        </w:tc>
        <w:tc>
          <w:tcPr>
            <w:tcW w:type="dxa" w:w="3115"/>
          </w:tcPr>
          <w:p>
            <w:pPr>
              <w:pStyle w:val="null5"/>
              <w:jc w:val="left"/>
            </w:pPr>
            <w:r>
              <w:rPr>
                <w:rFonts w:ascii="仿宋_GB2312" w:hAnsi="仿宋_GB2312" w:cs="仿宋_GB2312" w:eastAsia="仿宋_GB2312"/>
              </w:rPr>
              <w:t>对紧急、突发事件有应急处理方案、保障措施，包括但不限于：应急处理总体方案；暴雨、大雪、内涝等严重影响接送学生的处理方案；校车故障临时调度方案；校车内学生发生意外情况处理方案等。应急处理方案内容 科学、全面、详尽，保障措施全面且针对性强，能预判校车内可能发生的各种意外情形，得8分；应急处理方案内容完整，保障措施有针对性,对校车内可能发生的意外情形能作出部分预判，得5分；有应急处理方案，但需要进一步细化，措施有待加强，针对性有待提高，得3分；应急处理方案不合理或未提供方案的，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安全教培训和管理考核</w:t>
            </w:r>
          </w:p>
        </w:tc>
        <w:tc>
          <w:tcPr>
            <w:tcW w:type="dxa" w:w="3115"/>
          </w:tcPr>
          <w:p>
            <w:pPr>
              <w:pStyle w:val="null5"/>
              <w:jc w:val="left"/>
            </w:pPr>
            <w:r>
              <w:rPr>
                <w:rFonts w:ascii="仿宋_GB2312" w:hAnsi="仿宋_GB2312" w:cs="仿宋_GB2312" w:eastAsia="仿宋_GB2312"/>
              </w:rPr>
              <w:t>需加强对驾驶员、照管人员的安全教育培训，做好驾驶员的管理、考核工作。按以下两个方面进行评分：一、对驾驶员、照管人员的安全教育培训： 培训方案全面、切实可行，提供了详细的培训计划的，得5分；培训 方案具备可操作性，提供了培训计划，但需要细化的，得3分；方案内容需要进一步补充完整的，得1分；方案不合理或未提供方案的，不得分。 二、对驾驶员的管理、考核：管理、考核方案全面、针对性强、切实可行，有具体、详细的管理、 考核规定的，得5分；方案具备可操作性，有管理、考核规定，但需要进一步量化，得3分；方案内容需要进一步补充完整的，得1分；方案不合理或未提供方案的，不得分。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信息化系统建设方案</w:t>
            </w:r>
          </w:p>
        </w:tc>
        <w:tc>
          <w:tcPr>
            <w:tcW w:type="dxa" w:w="3115"/>
          </w:tcPr>
          <w:p>
            <w:pPr>
              <w:pStyle w:val="null5"/>
              <w:jc w:val="left"/>
            </w:pPr>
            <w:r>
              <w:rPr>
                <w:rFonts w:ascii="仿宋_GB2312" w:hAnsi="仿宋_GB2312" w:cs="仿宋_GB2312" w:eastAsia="仿宋_GB2312"/>
              </w:rPr>
              <w:t>需建设校车综合管理信息系统，加强信息化监控平台建设，形成校车安全 管理信息共享机制，实现对校车运行和学生乘车安全的实时监控，包括但 不限于：信息化监控平台建设总体方案；设备、系统建设方案；实时监控; 对不安全行为能实时抓拍。信息化系统建设方案内容科学合理、全面、详尽，设备配备合理，完全满足信息化需求，针对性强，得8分；信息化系统建设方案内容完整，配备设备能满足信息化需求，有针对性，得5分；信息化系统建设方案需要进一步细化，设备配备需要进一步完善，针对性有待提高，得3分；方案不合理或未提供的，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工器具、设施及物耗配备</w:t>
            </w:r>
          </w:p>
        </w:tc>
        <w:tc>
          <w:tcPr>
            <w:tcW w:type="dxa" w:w="3115"/>
          </w:tcPr>
          <w:p>
            <w:pPr>
              <w:pStyle w:val="null5"/>
              <w:jc w:val="left"/>
            </w:pPr>
            <w:r>
              <w:rPr>
                <w:rFonts w:ascii="仿宋_GB2312" w:hAnsi="仿宋_GB2312" w:cs="仿宋_GB2312" w:eastAsia="仿宋_GB2312"/>
              </w:rPr>
              <w:t>评委根据各供应商拟投入本项目使用的办公场所、车辆停放场地、标牌、校车清洁环境管理、员工服装、易耗品等设施、工器具，配备是否齐全、合理，分列是否完整、详细进行综合评分。有详细的工器具、设施及物耗配备计划，工器具、设施及物耗配备完整、科学、合理，可操作性强，完全贴合项目需求，得8分； 有具体的工器具、设施及物耗配备计划，配备较齐全，但需要进一步细化，满足项目需求，得5分；工器具、设施及物耗配备需要进一步补充完整，可操作性有待提高，得3分；不合理或未提供的，不得分。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人员配备</w:t>
            </w:r>
          </w:p>
        </w:tc>
        <w:tc>
          <w:tcPr>
            <w:tcW w:type="dxa" w:w="3115"/>
          </w:tcPr>
          <w:p>
            <w:pPr>
              <w:pStyle w:val="null5"/>
              <w:jc w:val="left"/>
            </w:pPr>
            <w:r>
              <w:rPr>
                <w:rFonts w:ascii="仿宋_GB2312" w:hAnsi="仿宋_GB2312" w:cs="仿宋_GB2312" w:eastAsia="仿宋_GB2312"/>
              </w:rPr>
              <w:t>根据供应商拟投入人员进行评审，评审标准：根据供应商拟投入校车驾驶员和救护员评审，每车至少一人具有紧急救护员证；校车驾驶员须具备A1类机动车驾驶证，准许驾驶校车期限有效，每提供10人得2分，最高8分；（须提供机动车驾驶证和紧急救护员证复印件、身份证复印件、签订的劳动合同复印件）</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企业业绩</w:t>
            </w:r>
          </w:p>
        </w:tc>
        <w:tc>
          <w:tcPr>
            <w:tcW w:type="dxa" w:w="3115"/>
          </w:tcPr>
          <w:p>
            <w:pPr>
              <w:pStyle w:val="null5"/>
              <w:jc w:val="left"/>
            </w:pPr>
            <w:r>
              <w:rPr>
                <w:rFonts w:ascii="仿宋_GB2312" w:hAnsi="仿宋_GB2312" w:cs="仿宋_GB2312" w:eastAsia="仿宋_GB2312"/>
              </w:rPr>
              <w:t>供应商提供自2022年1月-至今承揽的学校类校车类似业绩(提供合同，否则不得分，合同以签订时间为准)得5分，最多得10.0分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供应商须根据本项目实际情况，制定详细的售后服务方案：售后服务承诺全面具体，售后服务体系完善，售后服务内容详细具体，问题解决方案全面具体，有专业的售后服务团队、专业知识强、售后服务响应及时且承诺7*24小时响应，方案全面合理的得8分；售后服务承诺、售后服务体系具体，售后服务内容详细、问题解决方案具体,售后服务响应时间及时、方案全面的得5分；有最完善的售后服务方案架构、内容符合项目情况的，得3分；有最基本的售后服务方案架构、内容不符合项目情况的，得1分，未提供的得0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15.00%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numbering.xml" Type="http://schemas.openxmlformats.org/officeDocument/2006/relationships/numberi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