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阿鲁科尔沁旗2024—2025年地膜科学使用回收项目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询价通知书</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阿鲁科尔沁旗农牧局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内蒙古泽慧新程项目管理有限公司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CFZCAQS-X-H-250009</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询价邀请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询价邀请</w:t>
      </w:r>
    </w:p>
    <w:p>
      <w:pPr>
        <w:pStyle w:val="null5"/>
        <w:ind w:firstLine="480"/>
        <w:jc w:val="left"/>
      </w:pPr>
      <w:r>
        <w:rPr>
          <w:rFonts w:ascii="仿宋_GB2312" w:hAnsi="仿宋_GB2312" w:cs="仿宋_GB2312" w:eastAsia="仿宋_GB2312"/>
        </w:rPr>
        <w:t>内蒙古泽慧新程项目管理有限公司</w:t>
      </w:r>
      <w:r>
        <w:rPr>
          <w:rFonts w:ascii="仿宋_GB2312" w:hAnsi="仿宋_GB2312" w:cs="仿宋_GB2312" w:eastAsia="仿宋_GB2312"/>
        </w:rPr>
        <w:t xml:space="preserve"> 受 </w:t>
      </w:r>
      <w:r>
        <w:rPr>
          <w:rFonts w:ascii="仿宋_GB2312" w:hAnsi="仿宋_GB2312" w:cs="仿宋_GB2312" w:eastAsia="仿宋_GB2312"/>
        </w:rPr>
        <w:t>阿鲁科尔沁旗农牧局</w:t>
      </w:r>
      <w:r>
        <w:rPr>
          <w:rFonts w:ascii="仿宋_GB2312" w:hAnsi="仿宋_GB2312" w:cs="仿宋_GB2312" w:eastAsia="仿宋_GB2312"/>
        </w:rPr>
        <w:t xml:space="preserve"> 委托，采用询价方式组织采购 </w:t>
      </w:r>
      <w:r>
        <w:rPr>
          <w:rFonts w:ascii="仿宋_GB2312" w:hAnsi="仿宋_GB2312" w:cs="仿宋_GB2312" w:eastAsia="仿宋_GB2312"/>
        </w:rPr>
        <w:t>阿鲁科尔沁旗2024—2025年地膜科学使用回收项目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阿鲁科尔沁旗2024—2025年地膜科学使用回收项目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CFZCAQS-X-H-250009</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赤政采计划[2025]阿旗00232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2,435,000.00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阿鲁科尔沁旗2024-2025年地膜科学使用回收项目</w:t>
            </w:r>
          </w:p>
        </w:tc>
        <w:tc>
          <w:tcPr>
            <w:tcW w:type="dxa" w:w="831"/>
          </w:tcPr>
          <w:p>
            <w:pPr>
              <w:pStyle w:val="null5"/>
              <w:jc w:val="right"/>
            </w:pPr>
            <w:r>
              <w:rPr>
                <w:rFonts w:ascii="仿宋_GB2312" w:hAnsi="仿宋_GB2312" w:cs="仿宋_GB2312" w:eastAsia="仿宋_GB2312"/>
              </w:rPr>
              <w:t>233.34</w:t>
            </w:r>
          </w:p>
        </w:tc>
        <w:tc>
          <w:tcPr>
            <w:tcW w:type="dxa" w:w="831"/>
          </w:tcPr>
          <w:p>
            <w:pPr>
              <w:pStyle w:val="null5"/>
              <w:jc w:val="right"/>
            </w:pPr>
            <w:r>
              <w:rPr>
                <w:rFonts w:ascii="仿宋_GB2312" w:hAnsi="仿宋_GB2312" w:cs="仿宋_GB2312" w:eastAsia="仿宋_GB2312"/>
              </w:rPr>
              <w:t>2,435,000.00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三.获取询价通知书的时间、地点、方式</w:t>
      </w:r>
    </w:p>
    <w:p>
      <w:pPr>
        <w:pStyle w:val="null5"/>
        <w:ind w:firstLine="480"/>
        <w:jc w:val="left"/>
      </w:pPr>
      <w:r>
        <w:rPr>
          <w:rFonts w:ascii="仿宋_GB2312" w:hAnsi="仿宋_GB2312" w:cs="仿宋_GB2312" w:eastAsia="仿宋_GB2312"/>
        </w:rPr>
        <w:t>详见询价公告；</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四.询价通知书售价</w:t>
      </w:r>
    </w:p>
    <w:p>
      <w:pPr>
        <w:pStyle w:val="null5"/>
        <w:ind w:firstLine="480"/>
        <w:jc w:val="left"/>
      </w:pPr>
      <w:r>
        <w:rPr>
          <w:rFonts w:ascii="仿宋_GB2312" w:hAnsi="仿宋_GB2312" w:cs="仿宋_GB2312" w:eastAsia="仿宋_GB2312"/>
        </w:rPr>
        <w:t>本次询价通知书的售价为0元人民币。</w:t>
      </w:r>
    </w:p>
    <w:p>
      <w:pPr>
        <w:pStyle w:val="null5"/>
        <w:jc w:val="left"/>
        <w:outlineLvl w:val="2"/>
      </w:pPr>
      <w:r>
        <w:rPr>
          <w:rFonts w:ascii="仿宋_GB2312" w:hAnsi="仿宋_GB2312" w:cs="仿宋_GB2312" w:eastAsia="仿宋_GB2312"/>
          <w:sz w:val="28"/>
          <w:b/>
        </w:rPr>
        <w:t>五.响应文件提交的截止时间、开启时间及地点</w:t>
      </w:r>
    </w:p>
    <w:p>
      <w:pPr>
        <w:pStyle w:val="null5"/>
        <w:ind w:firstLine="480"/>
        <w:jc w:val="left"/>
      </w:pPr>
      <w:r>
        <w:rPr>
          <w:rFonts w:ascii="仿宋_GB2312" w:hAnsi="仿宋_GB2312" w:cs="仿宋_GB2312" w:eastAsia="仿宋_GB2312"/>
        </w:rPr>
        <w:t>详见询价公告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内蒙古泽慧新程项目管理有限公司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内蒙古自治区赤峰市松山区兴安街道物流园区中信大厦B座</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18747628784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阿鲁科尔沁旗农牧局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天山镇天元大街</w:t>
      </w:r>
    </w:p>
    <w:p>
      <w:pPr>
        <w:pStyle w:val="null5"/>
      </w:pPr>
      <w:r>
        <w:rPr>
          <w:rFonts w:ascii="仿宋_GB2312" w:hAnsi="仿宋_GB2312" w:cs="仿宋_GB2312" w:eastAsia="仿宋_GB2312"/>
        </w:rPr>
        <w:t xml:space="preserve"> 邮编： </w:t>
      </w:r>
      <w:r>
        <w:rPr>
          <w:rFonts w:ascii="仿宋_GB2312" w:hAnsi="仿宋_GB2312" w:cs="仿宋_GB2312" w:eastAsia="仿宋_GB2312"/>
        </w:rPr>
        <w:t>025500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崔建东</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15049644925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ind w:firstLine="480"/>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0"/>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0"/>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0"/>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0"/>
          </w:tcPr>
          <w:p>
            <w:pPr>
              <w:pStyle w:val="null5"/>
              <w:jc w:val="left"/>
            </w:pPr>
            <w:r>
              <w:rPr>
                <w:rFonts w:ascii="仿宋_GB2312" w:hAnsi="仿宋_GB2312" w:cs="仿宋_GB2312" w:eastAsia="仿宋_GB2312"/>
              </w:rPr>
              <w:t>询价</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评标方式</w:t>
            </w:r>
          </w:p>
        </w:tc>
        <w:tc>
          <w:tcPr>
            <w:tcW w:type="dxa" w:w="0"/>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开启方式</w:t>
            </w:r>
          </w:p>
        </w:tc>
        <w:tc>
          <w:tcPr>
            <w:tcW w:type="dxa" w:w="0"/>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评标方法</w:t>
            </w:r>
          </w:p>
        </w:tc>
        <w:tc>
          <w:tcPr>
            <w:tcW w:type="dxa" w:w="0"/>
          </w:tcPr>
          <w:p>
            <w:pPr>
              <w:pStyle w:val="null5"/>
              <w:jc w:val="left"/>
            </w:pPr>
            <w:r>
              <w:rPr>
                <w:rFonts w:ascii="仿宋_GB2312" w:hAnsi="仿宋_GB2312" w:cs="仿宋_GB2312" w:eastAsia="仿宋_GB2312"/>
              </w:rPr>
              <w:t>采购包1：最低评标价法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获取询价通知书时间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0"/>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0"/>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中标人确定</w:t>
            </w:r>
          </w:p>
        </w:tc>
        <w:tc>
          <w:tcPr>
            <w:tcW w:type="dxa" w:w="0"/>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0"/>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0"/>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代理服务费收费标准：执行内蒙古自治区工程建设协会关于印发《内蒙古自治区建设工程招标代理服务收费指导意见》的通知(内工建协(2022)34号)中“招标代理服务收费标准”收取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兼投不兼中规则</w:t>
            </w:r>
          </w:p>
        </w:tc>
        <w:tc>
          <w:tcPr>
            <w:tcW w:type="dxa" w:w="0"/>
          </w:tcPr>
          <w:p>
            <w:pPr>
              <w:pStyle w:val="null5"/>
              <w:jc w:val="left"/>
            </w:pPr>
            <w:r>
              <w:rPr>
                <w:rFonts w:ascii="仿宋_GB2312" w:hAnsi="仿宋_GB2312" w:cs="仿宋_GB2312" w:eastAsia="仿宋_GB2312"/>
              </w:rPr>
              <w:t>本项目可兼投1包，本项目可兼中1包</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投标保证金</w:t>
            </w:r>
          </w:p>
        </w:tc>
        <w:tc>
          <w:tcPr>
            <w:tcW w:type="dxa" w:w="0"/>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电子投标文件</w:t>
            </w:r>
          </w:p>
        </w:tc>
        <w:tc>
          <w:tcPr>
            <w:tcW w:type="dxa" w:w="0"/>
          </w:tcPr>
          <w:p>
            <w:pPr>
              <w:pStyle w:val="null5"/>
              <w:jc w:val="left"/>
            </w:pPr>
            <w:r>
              <w:rPr>
                <w:rFonts w:ascii="仿宋_GB2312" w:hAnsi="仿宋_GB2312" w:cs="仿宋_GB2312" w:eastAsia="仿宋_GB2312"/>
              </w:rPr>
              <w:t>应按照第七章“投标文件格式与要求”，使用单位电子签章（CA）进行签字、加盖公章。</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签字、盖章要求</w:t>
            </w:r>
          </w:p>
        </w:tc>
        <w:tc>
          <w:tcPr>
            <w:tcW w:type="dxa" w:w="0"/>
          </w:tcPr>
          <w:p>
            <w:pPr>
              <w:pStyle w:val="null5"/>
              <w:jc w:val="left"/>
            </w:pPr>
            <w:r>
              <w:rPr>
                <w:rFonts w:ascii="仿宋_GB2312" w:hAnsi="仿宋_GB2312" w:cs="仿宋_GB2312" w:eastAsia="仿宋_GB2312"/>
              </w:rPr>
              <w:t>说明：若涉及到授权代表签字的可将文件签字页先进行签字、扫描后导入加密电子投标文件。</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投标客户端</w:t>
            </w:r>
          </w:p>
        </w:tc>
        <w:tc>
          <w:tcPr>
            <w:tcW w:type="dxa" w:w="0"/>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面向中小企业采购</w:t>
            </w:r>
          </w:p>
        </w:tc>
        <w:tc>
          <w:tcPr>
            <w:tcW w:type="dxa" w:w="0"/>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有效投标人家数</w:t>
            </w:r>
          </w:p>
        </w:tc>
        <w:tc>
          <w:tcPr>
            <w:tcW w:type="dxa" w:w="0"/>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中标供应商数量</w:t>
            </w:r>
          </w:p>
        </w:tc>
        <w:tc>
          <w:tcPr>
            <w:tcW w:type="dxa" w:w="0"/>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中标候选供应商数量</w:t>
            </w:r>
          </w:p>
        </w:tc>
        <w:tc>
          <w:tcPr>
            <w:tcW w:type="dxa" w:w="0"/>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现场踏勘</w:t>
            </w:r>
          </w:p>
        </w:tc>
        <w:tc>
          <w:tcPr>
            <w:tcW w:type="dxa" w:w="0"/>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23</w:t>
            </w:r>
          </w:p>
        </w:tc>
        <w:tc>
          <w:tcPr>
            <w:tcW w:type="dxa" w:w="2623"/>
          </w:tcPr>
          <w:p>
            <w:pPr>
              <w:pStyle w:val="null5"/>
              <w:jc w:val="left"/>
            </w:pPr>
            <w:r>
              <w:rPr>
                <w:rFonts w:ascii="仿宋_GB2312" w:hAnsi="仿宋_GB2312" w:cs="仿宋_GB2312" w:eastAsia="仿宋_GB2312"/>
              </w:rPr>
              <w:t>报价形式</w:t>
            </w:r>
          </w:p>
        </w:tc>
        <w:tc>
          <w:tcPr>
            <w:tcW w:type="dxa" w:w="0"/>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24</w:t>
            </w:r>
          </w:p>
        </w:tc>
        <w:tc>
          <w:tcPr>
            <w:tcW w:type="dxa" w:w="2623"/>
          </w:tcPr>
          <w:p>
            <w:pPr>
              <w:pStyle w:val="null5"/>
              <w:jc w:val="left"/>
            </w:pPr>
            <w:r>
              <w:rPr>
                <w:rFonts w:ascii="仿宋_GB2312" w:hAnsi="仿宋_GB2312" w:cs="仿宋_GB2312" w:eastAsia="仿宋_GB2312"/>
              </w:rPr>
              <w:t>其他</w:t>
            </w:r>
          </w:p>
        </w:tc>
        <w:tc>
          <w:tcPr>
            <w:tcW w:type="dxa" w:w="0"/>
          </w:tcPr>
          <w:p>
            <w:pPr>
              <w:pStyle w:val="null5"/>
              <w:jc w:val="left"/>
            </w:pPr>
            <w:r>
              <w:rPr>
                <w:rFonts w:ascii="仿宋_GB2312" w:hAnsi="仿宋_GB2312" w:cs="仿宋_GB2312" w:eastAsia="仿宋_GB2312"/>
              </w:rPr>
              <w:t>报价要求：在评标过程中，投标人报价低于采购预算30%或者低于其他有效投标人报价算术平均价20%，有可能影响产品质量或者不能诚信履约的评标委员会应当要求其在评标现场合理的时间内提供成本构成书面说明，并提交以下相关证明材料： 1.供应商自身出具的产品详细价格构成说明函原件（包括进货成本、管理费用、人员成本构成、物流运输成本、税收等所有成本和利润）及相关证明材料供评委审查; 2.非生产厂家供应商同时还须提供全部货物生产厂家出具的详细价格构成说明函原件（包括原材料成本、管理费用、人员成本、物流运输成本、税收等所有成本及利润）及相关证明材料、所有货物生产厂家针对本项目的授权书原件和供货保证书原件及全部货物生产厂家的联系人和联系电话以供确认。以上资料必须齐全，并且相关资料真实性及合理性必须完全为评标委员会所接受，否则评标委员会有权将该投标报价视为“低于成本”，报价文件无效; 投标人拒绝或者变相拒绝提供有效书面说明或者书面说明不能证明其报价合理性的，评标委员会应当将其投标文件作为无效处理。</w:t>
            </w:r>
          </w:p>
        </w:tc>
      </w:tr>
    </w:tbl>
    <w:p>
      <w:pPr>
        <w:pStyle w:val="null5"/>
        <w:jc w:val="left"/>
        <w:outlineLvl w:val="2"/>
      </w:pPr>
      <w:r>
        <w:rPr>
          <w:rFonts w:ascii="仿宋_GB2312" w:hAnsi="仿宋_GB2312" w:cs="仿宋_GB2312" w:eastAsia="仿宋_GB2312"/>
          <w:sz w:val="28"/>
          <w:b/>
        </w:rPr>
        <w:t>二.询价须知</w:t>
      </w:r>
    </w:p>
    <w:p>
      <w:pPr>
        <w:pStyle w:val="null5"/>
        <w:ind w:firstLine="480"/>
        <w:jc w:val="left"/>
      </w:pPr>
      <w:r>
        <w:rPr>
          <w:rFonts w:ascii="仿宋_GB2312" w:hAnsi="仿宋_GB2312" w:cs="仿宋_GB2312" w:eastAsia="仿宋_GB2312"/>
        </w:rPr>
        <w:t>1.询价采取网上响应方式，操作流程如下：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询价通知书，并按照询价通知书的要求制作、上传电子响应文件。</w:t>
      </w:r>
    </w:p>
    <w:p>
      <w:pPr>
        <w:pStyle w:val="null5"/>
        <w:ind w:firstLine="480"/>
        <w:jc w:val="left"/>
      </w:pPr>
      <w:r>
        <w:rPr>
          <w:rFonts w:ascii="仿宋_GB2312" w:hAnsi="仿宋_GB2312" w:cs="仿宋_GB2312" w:eastAsia="仿宋_GB2312"/>
        </w:rPr>
        <w:t>2.保证金</w:t>
      </w:r>
    </w:p>
    <w:p>
      <w:pPr>
        <w:pStyle w:val="null5"/>
        <w:ind w:firstLine="480"/>
        <w:jc w:val="left"/>
      </w:pPr>
      <w:r>
        <w:rPr>
          <w:rFonts w:ascii="仿宋_GB2312" w:hAnsi="仿宋_GB2312" w:cs="仿宋_GB2312" w:eastAsia="仿宋_GB2312"/>
        </w:rPr>
        <w:t>2.1保证金缴纳（如需缴纳保证金）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保证金足额汇入以上账户，并自行承担因汇错保证金而产生的一切后果。供应商在转账或电汇的凭证上应按照“项目编号：***、采购包：***的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2.1.3供应商选择以支票、汇票、本票、保函等非现金形式缴纳保证金的，供应商将相关证明材料原件扫描添加至响应文件中，同时在开启时提供证明材料。</w:t>
      </w:r>
    </w:p>
    <w:p>
      <w:pPr>
        <w:pStyle w:val="null5"/>
        <w:ind w:firstLine="480"/>
        <w:jc w:val="left"/>
      </w:pPr>
      <w:r>
        <w:rPr>
          <w:rFonts w:ascii="仿宋_GB2312" w:hAnsi="仿宋_GB2312" w:cs="仿宋_GB2312" w:eastAsia="仿宋_GB2312"/>
        </w:rPr>
        <w:t>2.1.4缴纳保证金时间以保证金到账时间为准，由于保证金到账需要一定时间，请供应商在响应文件开启时间前及早缴纳。</w:t>
      </w:r>
    </w:p>
    <w:p>
      <w:pPr>
        <w:pStyle w:val="null5"/>
        <w:ind w:firstLine="480"/>
        <w:jc w:val="left"/>
      </w:pPr>
      <w:r>
        <w:rPr>
          <w:rFonts w:ascii="仿宋_GB2312" w:hAnsi="仿宋_GB2312" w:cs="仿宋_GB2312" w:eastAsia="仿宋_GB2312"/>
        </w:rPr>
        <w:t>2.2保证金的退还</w:t>
      </w:r>
    </w:p>
    <w:p>
      <w:pPr>
        <w:pStyle w:val="null5"/>
        <w:ind w:firstLine="480"/>
        <w:jc w:val="left"/>
      </w:pPr>
      <w:r>
        <w:rPr>
          <w:rFonts w:ascii="仿宋_GB2312" w:hAnsi="仿宋_GB2312" w:cs="仿宋_GB2312" w:eastAsia="仿宋_GB2312"/>
        </w:rPr>
        <w:t>2.2.1未成交供应商的保证金应当在成交通知书发出后5个工作日内退还，成交供应商的保证金应当在采购合同签订后5个工作日内退还。因供应商自身原因导致无法及时退还的除外。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2.2.2有下列情形之一的，保证金将不予退还：</w:t>
      </w:r>
    </w:p>
    <w:p>
      <w:pPr>
        <w:pStyle w:val="null5"/>
        <w:ind w:firstLine="480"/>
        <w:jc w:val="both"/>
      </w:pPr>
      <w:r>
        <w:rPr>
          <w:rFonts w:ascii="仿宋_GB2312" w:hAnsi="仿宋_GB2312" w:cs="仿宋_GB2312" w:eastAsia="仿宋_GB2312"/>
        </w:rPr>
        <w:t>（1）供应商在提交响应文件截止时间后撤回响应文件的；</w:t>
      </w:r>
    </w:p>
    <w:p>
      <w:pPr>
        <w:pStyle w:val="null5"/>
        <w:ind w:firstLine="480"/>
        <w:jc w:val="both"/>
      </w:pPr>
      <w:r>
        <w:rPr>
          <w:rFonts w:ascii="仿宋_GB2312" w:hAnsi="仿宋_GB2312" w:cs="仿宋_GB2312" w:eastAsia="仿宋_GB2312"/>
        </w:rPr>
        <w:t>（2）供应商在响应文件中提供虚假材料的；</w:t>
      </w:r>
    </w:p>
    <w:p>
      <w:pPr>
        <w:pStyle w:val="null5"/>
        <w:ind w:firstLine="480"/>
        <w:jc w:val="both"/>
      </w:pPr>
      <w:r>
        <w:rPr>
          <w:rFonts w:ascii="仿宋_GB2312" w:hAnsi="仿宋_GB2312" w:cs="仿宋_GB2312" w:eastAsia="仿宋_GB2312"/>
        </w:rPr>
        <w:t>（3）除因不可抗力或询价通知书认可的情形以外，成交供应商不与采购人签订合同的；</w:t>
      </w:r>
    </w:p>
    <w:p>
      <w:pPr>
        <w:pStyle w:val="null5"/>
        <w:ind w:firstLine="480"/>
        <w:jc w:val="both"/>
      </w:pPr>
      <w:r>
        <w:rPr>
          <w:rFonts w:ascii="仿宋_GB2312" w:hAnsi="仿宋_GB2312" w:cs="仿宋_GB2312" w:eastAsia="仿宋_GB2312"/>
        </w:rPr>
        <w:t>（4）供应商与采购人、其他供应商或者采购代理机构恶意串通的；</w:t>
      </w:r>
    </w:p>
    <w:p>
      <w:pPr>
        <w:pStyle w:val="null5"/>
        <w:ind w:firstLine="480"/>
        <w:jc w:val="both"/>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both"/>
      </w:pPr>
      <w:r>
        <w:rPr>
          <w:rFonts w:ascii="仿宋_GB2312" w:hAnsi="仿宋_GB2312" w:cs="仿宋_GB2312" w:eastAsia="仿宋_GB2312"/>
        </w:rPr>
        <w:t>各供应商应当在内蒙古自治区政府采购云平台开展与本项目有关的政府采购活动。</w:t>
      </w:r>
    </w:p>
    <w:p>
      <w:pPr>
        <w:pStyle w:val="null5"/>
        <w:ind w:firstLine="480"/>
        <w:jc w:val="both"/>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both"/>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both"/>
      </w:pPr>
      <w:r>
        <w:rPr>
          <w:rFonts w:ascii="仿宋_GB2312" w:hAnsi="仿宋_GB2312" w:cs="仿宋_GB2312" w:eastAsia="仿宋_GB2312"/>
        </w:rPr>
        <w:t>3.1远程不见面方式（供应商无需到现场）</w:t>
      </w:r>
    </w:p>
    <w:p>
      <w:pPr>
        <w:pStyle w:val="null5"/>
        <w:ind w:firstLine="480"/>
        <w:jc w:val="both"/>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both"/>
      </w:pPr>
      <w:r>
        <w:rPr>
          <w:rFonts w:ascii="仿宋_GB2312" w:hAnsi="仿宋_GB2312" w:cs="仿宋_GB2312" w:eastAsia="仿宋_GB2312"/>
        </w:rPr>
        <w:t>供应商的法定代表人或其授权代表应当按照本项目询价公告载明的时间等要求参加询价，在响应文件开启时间前30分钟，应当提前登录电子交易系统确认联系人姓名与联系电话。</w:t>
      </w:r>
    </w:p>
    <w:p>
      <w:pPr>
        <w:pStyle w:val="null5"/>
        <w:ind w:firstLine="480"/>
        <w:jc w:val="both"/>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（1）供应商未在规定时间内完成电子响应文件在线解密的；</w:t>
      </w:r>
    </w:p>
    <w:p>
      <w:pPr>
        <w:pStyle w:val="null5"/>
        <w:ind w:firstLine="480"/>
        <w:jc w:val="both"/>
      </w:pPr>
      <w:r>
        <w:rPr>
          <w:rFonts w:ascii="仿宋_GB2312" w:hAnsi="仿宋_GB2312" w:cs="仿宋_GB2312" w:eastAsia="仿宋_GB2312"/>
        </w:rPr>
        <w:t>（2）CA证书无法解密响应文件的；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both"/>
      </w:pPr>
      <w:r>
        <w:rPr>
          <w:rFonts w:ascii="仿宋_GB2312" w:hAnsi="仿宋_GB2312" w:cs="仿宋_GB2312" w:eastAsia="仿宋_GB2312"/>
        </w:rPr>
        <w:t>3.2现场网上方式（供应商需到现场）</w:t>
      </w:r>
    </w:p>
    <w:p>
      <w:pPr>
        <w:pStyle w:val="null5"/>
        <w:ind w:firstLine="480"/>
        <w:jc w:val="both"/>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both"/>
      </w:pPr>
      <w:r>
        <w:rPr>
          <w:rFonts w:ascii="仿宋_GB2312" w:hAnsi="仿宋_GB2312" w:cs="仿宋_GB2312" w:eastAsia="仿宋_GB2312"/>
        </w:rPr>
        <w:t>供应商的法定代表人或其授权代表应当按照本项目询价公告载明的时间和地点参加询价。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（1）CA证书无法解密响应文件的；</w:t>
      </w:r>
    </w:p>
    <w:p>
      <w:pPr>
        <w:pStyle w:val="null5"/>
        <w:ind w:firstLine="480"/>
        <w:jc w:val="both"/>
      </w:pPr>
      <w:r>
        <w:rPr>
          <w:rFonts w:ascii="仿宋_GB2312" w:hAnsi="仿宋_GB2312" w:cs="仿宋_GB2312" w:eastAsia="仿宋_GB2312"/>
        </w:rPr>
        <w:t>（2）供应商未按询价通知书要求提供“备用标书”的；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本询价通知书依据《中华人民共和国政府采购法》《中华人民共和国政府采购法实施条例》和《政府采购非招标采购方式管理办法》（财政部令第74号）及国家和自治区有关法律、法规、规章制度编制。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供应商应仔细阅读本项目信息公告及询价通知书的所有内容（包括澄清或者修改），按照询价通知书要求以及格式编制响应文件，并保证其真实性，否则一切后果自负。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本询价通知书仅适用于本次询价公告中所涉及的项目和内容。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供应商应承担所有与准备和参加询价有关的费用。不论询价结果如何，采购人或采购代理机构均无义务和责任承担相关费用。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4.1“采购人”是指依法进行政府采购的国家机关、事业单位、团体组织。本询价通知书的采购人特指 </w:t>
      </w:r>
      <w:r>
        <w:rPr>
          <w:rFonts w:ascii="仿宋_GB2312" w:hAnsi="仿宋_GB2312" w:cs="仿宋_GB2312" w:eastAsia="仿宋_GB2312"/>
        </w:rPr>
        <w:t>阿鲁科尔沁旗农牧局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4.2“采购代理机构”是指集中采购机构和集中采购机构以外的采购代理机构。本询价通知书的采购代理机构特指 </w:t>
      </w:r>
      <w:r>
        <w:rPr>
          <w:rFonts w:ascii="仿宋_GB2312" w:hAnsi="仿宋_GB2312" w:cs="仿宋_GB2312" w:eastAsia="仿宋_GB2312"/>
        </w:rPr>
        <w:t>内蒙古泽慧新程项目管理有限公司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4.4“询价小组”由采购人代表和评审专家组成。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5.1符合本询价通知书规定的资格要求，并按照要求提供相关证明材料。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四.询价通知书的澄清或者修改</w:t>
      </w:r>
    </w:p>
    <w:p>
      <w:pPr>
        <w:pStyle w:val="null5"/>
        <w:ind w:firstLine="480"/>
        <w:jc w:val="left"/>
      </w:pPr>
      <w:r>
        <w:rPr>
          <w:rFonts w:ascii="仿宋_GB2312" w:hAnsi="仿宋_GB2312" w:cs="仿宋_GB2312" w:eastAsia="仿宋_GB2312"/>
        </w:rPr>
        <w:t>提交响应文件截止之日前，采购人、采购代理机构或者询价小组可以对已发出的询价通知书进行必要的澄清或者修改，澄清或者修改的内容作为询价通知书的组成部分。澄清或者修改的内容可能影响响应文件编制的，采购人、采购代理机构或者询价小组应当在提交响应文件截止之日3个工作日前，在“内蒙古自治区政府采购网”上发布更正公告进行通知，不足3个工作日的，应当顺延提交响应文件截止之日。更正公告的内容为询价通知书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响应文件应按照询价通知书第七章“响应文件格式与要求”进行编写，可以增加附页，并作为响应文件的组成部分。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2.1供应商应按照第三章“采购内容与技术要求”进行报价。报价中不得包含询价通知书要求以外的内容，否则，在评审时不予核减。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2.4参加询价采购活动的供应商，应当按照询价通知书的规定一次报出不得更改的价格。</w:t>
      </w:r>
    </w:p>
    <w:p>
      <w:pPr>
        <w:pStyle w:val="null5"/>
        <w:ind w:firstLine="480"/>
        <w:jc w:val="left"/>
      </w:pPr>
      <w:r>
        <w:rPr>
          <w:rFonts w:ascii="仿宋_GB2312" w:hAnsi="仿宋_GB2312" w:cs="仿宋_GB2312" w:eastAsia="仿宋_GB2312"/>
        </w:rPr>
        <w:t>2.5供应商应在“投标客户端”对【报价部分】进行填写，“投标客户端”将自动根据供应商填写信息在线生成“报价一览表”、“分项报价表”，若在响应文件中出现非系统生成的“报价一览表”、“分项报价表”，且与“投标客户端”生成的“报价一览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5.1询价通知书规定供应商提交样品的，样品属于响应文件的组成部分。样品的生产、运输、安装、保全等一切费用由供应商自理。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5.3采购活动结束后，对于未成交供应商提供的样品，应当及时退还或者经未成交供应商同意后自行处理；对于成交供应商提供的样品，应当按照询价通知书的规定进行保管、封存，并作为履约验收的参考。</w:t>
      </w:r>
    </w:p>
    <w:p>
      <w:pPr>
        <w:pStyle w:val="null5"/>
        <w:jc w:val="left"/>
        <w:outlineLvl w:val="2"/>
      </w:pPr>
      <w:r>
        <w:rPr>
          <w:rFonts w:ascii="仿宋_GB2312" w:hAnsi="仿宋_GB2312" w:cs="仿宋_GB2312" w:eastAsia="仿宋_GB2312"/>
          <w:sz w:val="28"/>
          <w:b/>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（3）供应商对已提交的加密文件进行解密，由采购人或者采购代理机构工作人员宣布供应商名称和询价通知书规定需要宣布的其他内容；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提供以下任意一种均可：1.供应商2023或2024年度经会计师事务所出具的财务审计报告； 2.供应商基本开户银行近一年内出具的银行资信证明；3.供应商出具的“具有良好的商业信誉和健全的财务会计制度” 的承诺书；（格式自拟）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提供以下任意一种均可：1.递交响应文件截止之日前一年内（至少一个月）的：（1）缴纳税收的相关凭据；（税务机关提供的纳税凭据或银行入账单）（2）缴纳社会保险的凭证；（专用收据或社会保险缴纳清单或其他缴纳凭证）2.供 应商出具的“具有依法缴纳税收和社会保障资金的良好记录” 的承诺书；（格式自拟）注：其他组织和自然人也需要提供缴纳。 依法免税或不需要缴纳社会保障资金的供应商，应提供相应文件证明其依法免税或不需要缴 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1）经“信用中国”网站查询的供应商未被列入“失信被执行人”、“重大税收违法失信主体”、“政府采购严重违法失信行为记录名单”的网页截图；（2）经“中国政府采购网”网站查询的供应商未被列入“政府采购严重违法失信行为记录名单” 的网页截图。注：①上述信息可在评标现场进行核实；②招标文件中的“税收违法黑名单”等同于“重大税收违法失信主 体”（以通过查询“信用中国”网站和“中国政府采购网”网站的信用记录内容为准。）</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询价邀请）。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ind w:firstLine="480"/>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ind w:firstLine="480"/>
        <w:jc w:val="left"/>
      </w:pPr>
      <w:r>
        <w:rPr>
          <w:rFonts w:ascii="仿宋_GB2312" w:hAnsi="仿宋_GB2312" w:cs="仿宋_GB2312" w:eastAsia="仿宋_GB2312"/>
        </w:rPr>
        <w:t>到2025年6月底，全面落实地膜科学使用回收工作，2026年6月底，全旗农膜回收率达到85%以上</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 15个日历天内完成供货并验收合格。</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1、支付比例100%，供货完成并验收合格后，财政最终结算资金到位后一次性支付，达到付款条件起7日，支付合同总金额的100.00%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缴纳比例：4</w:t>
            </w:r>
          </w:p>
          <w:p>
            <w:pPr>
              <w:pStyle w:val="null5"/>
              <w:jc w:val="left"/>
            </w:pPr>
            <w:r>
              <w:rPr>
                <w:rFonts w:ascii="仿宋_GB2312" w:hAnsi="仿宋_GB2312" w:cs="仿宋_GB2312" w:eastAsia="仿宋_GB2312"/>
              </w:rPr>
              <w:t>缴纳说明：①履约保证金的形式：电汇转账方式或保函、保证担保、保险、汇票和本票等非现金方式。 ②履约保证金的金额：中标金额的4%。 ③履约保证金递交的时间：采用电汇转账形式的在签订合同前由中标单位的基本账户一次性汇入招标人账户，详细汇款账户签订合同前另行给定。采用非现金方式的在签订合同前出具并交由招标人审查 。</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1、期次1，说明：由采购人组织验收小组，严格按照采购文件中相关内 容及中标供应商的响应内容进行履约验收，验收合格签署《验收单》</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标的名称：阿鲁科尔沁旗2024-2025年地膜科学使用回收项目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b/>
              </w:rPr>
              <w:t>加厚高强度地膜的标准：不低于国家强制标准（</w:t>
            </w:r>
            <w:r>
              <w:rPr>
                <w:rFonts w:ascii="仿宋_GB2312" w:hAnsi="仿宋_GB2312" w:cs="仿宋_GB2312" w:eastAsia="仿宋_GB2312"/>
                <w:sz w:val="21"/>
                <w:b/>
              </w:rPr>
              <w:t>GB13735—2017）的性能指标，地膜厚度不低于0.012mm，覆盖使用时间和力学性能指标不低于国家强制标准中I类耐老化地膜有关要求</w:t>
            </w:r>
            <w:r>
              <w:rPr>
                <w:rFonts w:ascii="仿宋_GB2312" w:hAnsi="仿宋_GB2312" w:cs="仿宋_GB2312" w:eastAsia="仿宋_GB2312"/>
                <w:sz w:val="21"/>
                <w:b/>
              </w:rPr>
              <w:t>.需要提供检测报告。</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b/>
              </w:rPr>
              <w:t>产品原材料中不得加入再生料以及国家明确禁止使用、不利于作物生长和对土壤有害的助剂</w:t>
            </w:r>
            <w:r>
              <w:rPr>
                <w:rFonts w:ascii="仿宋_GB2312" w:hAnsi="仿宋_GB2312" w:cs="仿宋_GB2312" w:eastAsia="仿宋_GB2312"/>
                <w:sz w:val="21"/>
                <w:b/>
              </w:rPr>
              <w:t>.</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b/>
              </w:rPr>
              <w:t>总灰分应控制在</w:t>
            </w:r>
            <w:r>
              <w:rPr>
                <w:rFonts w:ascii="仿宋_GB2312" w:hAnsi="仿宋_GB2312" w:cs="仿宋_GB2312" w:eastAsia="仿宋_GB2312"/>
                <w:sz w:val="21"/>
                <w:b/>
              </w:rPr>
              <w:t>0.5%以内</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b/>
              </w:rPr>
              <w:t>产品外观不应有影响使用的气泡、杂质、条纹、穿孔、褶皱等缺陷，膜卷应卷绕整齐，不应有明显的暴筋。</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b/>
              </w:rPr>
              <w:t>有效使用时间应</w:t>
            </w:r>
            <w:r>
              <w:rPr>
                <w:rFonts w:ascii="仿宋_GB2312" w:hAnsi="仿宋_GB2312" w:cs="仿宋_GB2312" w:eastAsia="仿宋_GB2312"/>
                <w:sz w:val="21"/>
                <w:b/>
              </w:rPr>
              <w:t>≥180天。需要提供检测报告。</w:t>
            </w: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b/>
              </w:rPr>
              <w:t>力学性能上：拉伸负荷（纵、横向）</w:t>
            </w:r>
            <w:r>
              <w:rPr>
                <w:rFonts w:ascii="仿宋_GB2312" w:hAnsi="仿宋_GB2312" w:cs="仿宋_GB2312" w:eastAsia="仿宋_GB2312"/>
                <w:sz w:val="21"/>
                <w:b/>
              </w:rPr>
              <w:t>≥2.2N、断裂标称应变（纵、横向）≥300%、直角撕裂负荷（纵、横向）≥1.2N，需要提供检测报告。</w:t>
            </w:r>
          </w:p>
        </w:tc>
      </w:tr>
      <w:tr>
        <w:tc>
          <w:tcPr>
            <w:tcW w:type="dxa" w:w="2769"/>
          </w:tcPr>
          <w:p>
            <w:pPr>
              <w:pStyle w:val="null5"/>
              <w:jc w:val="left"/>
            </w:pPr>
            <w:r>
              <w:rPr>
                <w:rFonts w:ascii="仿宋_GB2312" w:hAnsi="仿宋_GB2312" w:cs="仿宋_GB2312" w:eastAsia="仿宋_GB2312"/>
              </w:rPr>
              <w:t>7</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b/>
              </w:rPr>
              <w:t>耐候性能上：老化后最大拉伸负荷、纵向断裂标称应变保留率</w:t>
            </w:r>
            <w:r>
              <w:rPr>
                <w:rFonts w:ascii="仿宋_GB2312" w:hAnsi="仿宋_GB2312" w:cs="仿宋_GB2312" w:eastAsia="仿宋_GB2312"/>
                <w:sz w:val="21"/>
                <w:b/>
              </w:rPr>
              <w:t>≥50%。需要提供检测报告。</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both"/>
            </w:pPr>
            <w:r>
              <w:rPr>
                <w:rFonts w:ascii="仿宋_GB2312" w:hAnsi="仿宋_GB2312" w:cs="仿宋_GB2312" w:eastAsia="仿宋_GB2312"/>
                <w:sz w:val="21"/>
                <w:b/>
              </w:rPr>
              <w:t>颜色：黑色</w:t>
            </w:r>
            <w:r>
              <w:rPr>
                <w:rFonts w:ascii="仿宋_GB2312" w:hAnsi="仿宋_GB2312" w:cs="仿宋_GB2312" w:eastAsia="仿宋_GB2312"/>
                <w:sz w:val="21"/>
                <w:b/>
              </w:rPr>
              <w:t>/</w:t>
            </w:r>
            <w:r>
              <w:rPr>
                <w:rFonts w:ascii="仿宋_GB2312" w:hAnsi="仿宋_GB2312" w:cs="仿宋_GB2312" w:eastAsia="仿宋_GB2312"/>
                <w:sz w:val="21"/>
                <w:b/>
              </w:rPr>
              <w:t>白色</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both"/>
            </w:pPr>
            <w:r>
              <w:rPr>
                <w:rFonts w:ascii="仿宋_GB2312" w:hAnsi="仿宋_GB2312" w:cs="仿宋_GB2312" w:eastAsia="仿宋_GB2312"/>
                <w:sz w:val="21"/>
                <w:b/>
              </w:rPr>
              <w:t>宽度：</w:t>
            </w:r>
            <w:r>
              <w:rPr>
                <w:rFonts w:ascii="仿宋_GB2312" w:hAnsi="仿宋_GB2312" w:cs="仿宋_GB2312" w:eastAsia="仿宋_GB2312"/>
                <w:sz w:val="21"/>
                <w:b/>
              </w:rPr>
              <w:t>80cm</w:t>
            </w:r>
            <w:r>
              <w:rPr>
                <w:rFonts w:ascii="仿宋_GB2312" w:hAnsi="仿宋_GB2312" w:cs="仿宋_GB2312" w:eastAsia="仿宋_GB2312"/>
                <w:sz w:val="21"/>
                <w:b/>
              </w:rPr>
              <w:t>/</w:t>
            </w:r>
            <w:r>
              <w:rPr>
                <w:rFonts w:ascii="仿宋_GB2312" w:hAnsi="仿宋_GB2312" w:cs="仿宋_GB2312" w:eastAsia="仿宋_GB2312"/>
                <w:sz w:val="21"/>
                <w:b/>
              </w:rPr>
              <w:t>90cm</w:t>
            </w:r>
            <w:r>
              <w:rPr>
                <w:rFonts w:ascii="仿宋_GB2312" w:hAnsi="仿宋_GB2312" w:cs="仿宋_GB2312" w:eastAsia="仿宋_GB2312"/>
                <w:sz w:val="21"/>
                <w:b/>
              </w:rPr>
              <w:t>/1</w:t>
            </w:r>
            <w:r>
              <w:rPr>
                <w:rFonts w:ascii="仿宋_GB2312" w:hAnsi="仿宋_GB2312" w:cs="仿宋_GB2312" w:eastAsia="仿宋_GB2312"/>
                <w:sz w:val="21"/>
                <w:b/>
              </w:rPr>
              <w:t>20cm</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both"/>
            </w:pPr>
            <w:r>
              <w:rPr>
                <w:rFonts w:ascii="仿宋_GB2312" w:hAnsi="仿宋_GB2312" w:cs="仿宋_GB2312" w:eastAsia="仿宋_GB2312"/>
                <w:sz w:val="21"/>
                <w:b/>
              </w:rPr>
              <w:t>采购数量：</w:t>
            </w:r>
            <w:r>
              <w:rPr>
                <w:rFonts w:ascii="仿宋_GB2312" w:hAnsi="仿宋_GB2312" w:cs="仿宋_GB2312" w:eastAsia="仿宋_GB2312"/>
                <w:sz w:val="21"/>
                <w:b/>
              </w:rPr>
              <w:t>233.34吨</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供应商应提交证明其有资格参加询价和成交后有能力履行合同的相关文件，并作为其响应文件的一部分，所有文件必须真实可靠、不得伪造，否则将按相关规定予以处罚。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五、按照询价通知书要求，供应商应当提交的其他资格、资信证明文件。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采购人根据符合采购需求、质量和服务相等且报价最低的原则确定成交供应商。</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2.1询价小组成员应当遵循客观、公正、审慎的原则，根据询价通知书规定的评审程序、评审方法和评审标准进行独立评审。</w:t>
      </w:r>
    </w:p>
    <w:p>
      <w:pPr>
        <w:pStyle w:val="null5"/>
        <w:ind w:firstLine="480"/>
        <w:jc w:val="left"/>
      </w:pPr>
      <w:r>
        <w:rPr>
          <w:rFonts w:ascii="仿宋_GB2312" w:hAnsi="仿宋_GB2312" w:cs="仿宋_GB2312" w:eastAsia="仿宋_GB2312"/>
        </w:rPr>
        <w:t>2.2具体评审事项由询价小组负责，并按询价通知书规定的办法进行评审。</w:t>
      </w:r>
    </w:p>
    <w:p>
      <w:pPr>
        <w:pStyle w:val="null5"/>
        <w:ind w:firstLine="480"/>
        <w:jc w:val="left"/>
      </w:pPr>
      <w:r>
        <w:rPr>
          <w:rFonts w:ascii="仿宋_GB2312" w:hAnsi="仿宋_GB2312" w:cs="仿宋_GB2312" w:eastAsia="仿宋_GB2312"/>
        </w:rPr>
        <w:t>3.询价小组</w:t>
      </w:r>
    </w:p>
    <w:p>
      <w:pPr>
        <w:pStyle w:val="null5"/>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其中由评审专家库产生的评审专家2人，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3.1询价小组由采购人代表和评审专家共3人以上单数组成，其中评审专家人数不得少于询价小组成员总数的2/3。</w:t>
      </w:r>
    </w:p>
    <w:p>
      <w:pPr>
        <w:pStyle w:val="null5"/>
        <w:ind w:firstLine="480"/>
        <w:jc w:val="left"/>
      </w:pPr>
      <w:r>
        <w:rPr>
          <w:rFonts w:ascii="仿宋_GB2312" w:hAnsi="仿宋_GB2312" w:cs="仿宋_GB2312" w:eastAsia="仿宋_GB2312"/>
        </w:rPr>
        <w:t>3.2询价小组成员有下列情形之一的，应当回避：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3.3询价小组应当履行下列职责：</w:t>
      </w:r>
    </w:p>
    <w:p>
      <w:pPr>
        <w:pStyle w:val="null5"/>
        <w:ind w:firstLine="480"/>
        <w:jc w:val="left"/>
      </w:pPr>
      <w:r>
        <w:rPr>
          <w:rFonts w:ascii="仿宋_GB2312" w:hAnsi="仿宋_GB2312" w:cs="仿宋_GB2312" w:eastAsia="仿宋_GB2312"/>
        </w:rPr>
        <w:t>（1）确认或者制定询价通知书；</w:t>
      </w:r>
    </w:p>
    <w:p>
      <w:pPr>
        <w:pStyle w:val="null5"/>
        <w:ind w:firstLine="480"/>
        <w:jc w:val="left"/>
      </w:pPr>
      <w:r>
        <w:rPr>
          <w:rFonts w:ascii="仿宋_GB2312" w:hAnsi="仿宋_GB2312" w:cs="仿宋_GB2312" w:eastAsia="仿宋_GB2312"/>
        </w:rPr>
        <w:t>（2）从符合相应资格条件的供应商名单中确定不少于3家的供应商参加询价；</w:t>
      </w:r>
    </w:p>
    <w:p>
      <w:pPr>
        <w:pStyle w:val="null5"/>
        <w:ind w:firstLine="480"/>
        <w:jc w:val="left"/>
      </w:pPr>
      <w:r>
        <w:rPr>
          <w:rFonts w:ascii="仿宋_GB2312" w:hAnsi="仿宋_GB2312" w:cs="仿宋_GB2312" w:eastAsia="仿宋_GB2312"/>
        </w:rPr>
        <w:t>（3）审查供应商的响应文件并作出评价；</w:t>
      </w:r>
    </w:p>
    <w:p>
      <w:pPr>
        <w:pStyle w:val="null5"/>
        <w:ind w:firstLine="480"/>
        <w:jc w:val="left"/>
      </w:pPr>
      <w:r>
        <w:rPr>
          <w:rFonts w:ascii="仿宋_GB2312" w:hAnsi="仿宋_GB2312" w:cs="仿宋_GB2312" w:eastAsia="仿宋_GB2312"/>
        </w:rPr>
        <w:t>（4）要求供应商解释或者澄清其响应文件；</w:t>
      </w:r>
    </w:p>
    <w:p>
      <w:pPr>
        <w:pStyle w:val="null5"/>
        <w:ind w:firstLine="480"/>
        <w:jc w:val="left"/>
      </w:pPr>
      <w:r>
        <w:rPr>
          <w:rFonts w:ascii="仿宋_GB2312" w:hAnsi="仿宋_GB2312" w:cs="仿宋_GB2312" w:eastAsia="仿宋_GB2312"/>
        </w:rPr>
        <w:t>（5）编写评审报告；</w:t>
      </w:r>
    </w:p>
    <w:p>
      <w:pPr>
        <w:pStyle w:val="null5"/>
        <w:ind w:firstLine="480"/>
        <w:jc w:val="left"/>
      </w:pPr>
      <w:r>
        <w:rPr>
          <w:rFonts w:ascii="仿宋_GB2312" w:hAnsi="仿宋_GB2312" w:cs="仿宋_GB2312" w:eastAsia="仿宋_GB2312"/>
        </w:rPr>
        <w:t>（6）告知采购人、采购代理机构在评审过程中发现的供应商的违法违规行为；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询价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4.1询价小组不接受供应商主动提出的澄清、说明或更正。</w:t>
      </w:r>
    </w:p>
    <w:p>
      <w:pPr>
        <w:pStyle w:val="null5"/>
        <w:ind w:firstLine="480"/>
        <w:jc w:val="left"/>
      </w:pPr>
      <w:r>
        <w:rPr>
          <w:rFonts w:ascii="仿宋_GB2312" w:hAnsi="仿宋_GB2312" w:cs="仿宋_GB2312" w:eastAsia="仿宋_GB2312"/>
        </w:rPr>
        <w:t>4.2询价小组对供应商提交的澄清、说明或更正有疑问的，可以要求供应商进一步澄清、说明或更正。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（1）供应商未按照询价通知书要求提交保证金的，响应无效；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（3）未实质性响应询价通知书的，响应无效；</w:t>
      </w:r>
    </w:p>
    <w:p>
      <w:pPr>
        <w:pStyle w:val="null5"/>
        <w:ind w:firstLine="480"/>
        <w:jc w:val="left"/>
      </w:pPr>
      <w:r>
        <w:rPr>
          <w:rFonts w:ascii="仿宋_GB2312" w:hAnsi="仿宋_GB2312" w:cs="仿宋_GB2312" w:eastAsia="仿宋_GB2312"/>
        </w:rPr>
        <w:t>（4）法律、法规和询价通知书规定的其他无效情形。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出现下列情形之一的，采购人或者采购代理机构应当终止询价采购活动，发布项目终止公告并说明原因，重新开展采购活动：</w:t>
      </w:r>
    </w:p>
    <w:p>
      <w:pPr>
        <w:pStyle w:val="null5"/>
        <w:ind w:firstLine="480"/>
        <w:jc w:val="left"/>
      </w:pPr>
      <w:r>
        <w:rPr>
          <w:rFonts w:ascii="仿宋_GB2312" w:hAnsi="仿宋_GB2312" w:cs="仿宋_GB2312" w:eastAsia="仿宋_GB2312"/>
        </w:rPr>
        <w:t>（1）因情况变化，不再符合规定的询价采购方式适用情形的；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（3）在采购过程中符合竞争要求的供应商或者报价未超过采购预算的供应商不足3家的。</w:t>
      </w:r>
    </w:p>
    <w:p>
      <w:pPr>
        <w:pStyle w:val="null5"/>
        <w:ind w:firstLine="480"/>
        <w:jc w:val="left"/>
      </w:pPr>
      <w:r>
        <w:rPr>
          <w:rFonts w:ascii="仿宋_GB2312" w:hAnsi="仿宋_GB2312" w:cs="仿宋_GB2312" w:eastAsia="仿宋_GB2312"/>
        </w:rPr>
        <w:t>（4）法律、法规以及询价通知书规定其他情形。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评审结束后，询价小组根据采购人书面授权直接确定成交供应商或者由采购人从评审报告提出的成交候选供应商中按顺序确定成交供应商。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询价通知书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响应文件规范性、符合性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响应文件的签署、盖章、涂改、删除、插字、公章使用等符合询价通知书要求；响应文件文件的格式、文字、目录等符合询价通知书要求或对投标无实质性影响。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2.响应文件应当对询价通知书提出的要求和条件作出明确响应并满足询价通知书全部实质性要求。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询价通知书要求的其他无效投标情形；围标、串标和法律法规规定的其它无效投标条款。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pPr>
      <w:r>
        <w:rPr>
          <w:rFonts w:ascii="仿宋_GB2312" w:hAnsi="仿宋_GB2312" w:cs="仿宋_GB2312" w:eastAsia="仿宋_GB2312"/>
        </w:rPr>
        <w:t>采购包1：</w:t>
      </w:r>
    </w:p>
    <w:p>
      <w:pPr>
        <w:pStyle w:val="null5"/>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pPr>
            <w:r>
              <w:rPr>
                <w:rFonts w:ascii="仿宋_GB2312" w:hAnsi="仿宋_GB2312" w:cs="仿宋_GB2312" w:eastAsia="仿宋_GB2312"/>
              </w:rPr>
              <w:t xml:space="preserve"> 序号</w:t>
            </w:r>
          </w:p>
        </w:tc>
        <w:tc>
          <w:tcPr>
            <w:tcW w:type="dxa" w:w="1661"/>
          </w:tcPr>
          <w:p>
            <w:pPr>
              <w:pStyle w:val="null5"/>
            </w:pPr>
            <w:r>
              <w:rPr>
                <w:rFonts w:ascii="仿宋_GB2312" w:hAnsi="仿宋_GB2312" w:cs="仿宋_GB2312" w:eastAsia="仿宋_GB2312"/>
              </w:rPr>
              <w:t xml:space="preserve"> 情形</w:t>
            </w:r>
          </w:p>
        </w:tc>
        <w:tc>
          <w:tcPr>
            <w:tcW w:type="dxa" w:w="2492"/>
          </w:tcPr>
          <w:p>
            <w:pPr>
              <w:pStyle w:val="null5"/>
            </w:pPr>
            <w:r>
              <w:rPr>
                <w:rFonts w:ascii="仿宋_GB2312" w:hAnsi="仿宋_GB2312" w:cs="仿宋_GB2312" w:eastAsia="仿宋_GB2312"/>
              </w:rPr>
              <w:t xml:space="preserve"> 适用对象</w:t>
            </w:r>
          </w:p>
        </w:tc>
        <w:tc>
          <w:tcPr>
            <w:tcW w:type="dxa" w:w="831"/>
          </w:tcPr>
          <w:p>
            <w:pPr>
              <w:pStyle w:val="null5"/>
            </w:pPr>
            <w:r>
              <w:rPr>
                <w:rFonts w:ascii="仿宋_GB2312" w:hAnsi="仿宋_GB2312" w:cs="仿宋_GB2312" w:eastAsia="仿宋_GB2312"/>
              </w:rPr>
              <w:t xml:space="preserve"> 比例</w:t>
            </w:r>
          </w:p>
        </w:tc>
        <w:tc>
          <w:tcPr>
            <w:tcW w:type="dxa" w:w="2492"/>
          </w:tcPr>
          <w:p>
            <w:pPr>
              <w:pStyle w:val="null5"/>
            </w:pPr>
            <w:r>
              <w:rPr>
                <w:rFonts w:ascii="仿宋_GB2312" w:hAnsi="仿宋_GB2312" w:cs="仿宋_GB2312" w:eastAsia="仿宋_GB2312"/>
              </w:rPr>
              <w:t xml:space="preserve"> 说明</w:t>
            </w:r>
          </w:p>
        </w:tc>
      </w:tr>
      <w:tr>
        <w:tc>
          <w:tcPr>
            <w:tcW w:type="dxa" w:w="8307"/>
            <w:gridSpan w:val="5"/>
          </w:tcPr>
          <w:p>
            <w:pPr>
              <w:pStyle w:val="null5"/>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