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2024年基层农技推广体系改革与建设补助项目物化采购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巴林左旗农牧局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内蒙古立琨建设工程咨询有限公司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CFZCZQS-G-H-250005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内蒙古立琨建设工程咨询有限公司</w:t>
      </w:r>
      <w:r>
        <w:rPr>
          <w:rFonts w:ascii="仿宋_GB2312" w:hAnsi="仿宋_GB2312" w:cs="仿宋_GB2312" w:eastAsia="仿宋_GB2312"/>
        </w:rPr>
        <w:t xml:space="preserve"> 受 </w:t>
      </w:r>
      <w:r>
        <w:rPr>
          <w:rFonts w:ascii="仿宋_GB2312" w:hAnsi="仿宋_GB2312" w:cs="仿宋_GB2312" w:eastAsia="仿宋_GB2312"/>
        </w:rPr>
        <w:t>巴林左旗农牧局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2024年基层农技推广体系改革与建设补助项目物化采购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2024年基层农技推广体系改革与建设补助项目物化采购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CFZCZQS-G-H-250005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赤政采计划[2025]左旗00072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长效复合肥</w:t>
            </w:r>
          </w:p>
        </w:tc>
        <w:tc>
          <w:tcPr>
            <w:tcW w:type="dxa" w:w="831"/>
          </w:tcPr>
          <w:p>
            <w:pPr>
              <w:pStyle w:val="null5"/>
              <w:jc w:val="right"/>
            </w:pPr>
            <w:r>
              <w:rPr>
                <w:rFonts w:ascii="仿宋_GB2312" w:hAnsi="仿宋_GB2312" w:cs="仿宋_GB2312" w:eastAsia="仿宋_GB2312"/>
              </w:rPr>
              <w:t>67.00</w:t>
            </w:r>
          </w:p>
        </w:tc>
        <w:tc>
          <w:tcPr>
            <w:tcW w:type="dxa" w:w="831"/>
          </w:tcPr>
          <w:p>
            <w:pPr>
              <w:pStyle w:val="null5"/>
              <w:jc w:val="right"/>
            </w:pPr>
            <w:r>
              <w:rPr>
                <w:rFonts w:ascii="仿宋_GB2312" w:hAnsi="仿宋_GB2312" w:cs="仿宋_GB2312" w:eastAsia="仿宋_GB2312"/>
              </w:rPr>
              <w:t>249,000.00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控释肥</w:t>
            </w:r>
          </w:p>
        </w:tc>
        <w:tc>
          <w:tcPr>
            <w:tcW w:type="dxa" w:w="831"/>
          </w:tcPr>
          <w:p>
            <w:pPr>
              <w:pStyle w:val="null5"/>
              <w:jc w:val="right"/>
            </w:pPr>
            <w:r>
              <w:rPr>
                <w:rFonts w:ascii="仿宋_GB2312" w:hAnsi="仿宋_GB2312" w:cs="仿宋_GB2312" w:eastAsia="仿宋_GB2312"/>
              </w:rPr>
              <w:t>37.00</w:t>
            </w:r>
          </w:p>
        </w:tc>
        <w:tc>
          <w:tcPr>
            <w:tcW w:type="dxa" w:w="831"/>
          </w:tcPr>
          <w:p>
            <w:pPr>
              <w:pStyle w:val="null5"/>
              <w:jc w:val="right"/>
            </w:pPr>
            <w:r>
              <w:rPr>
                <w:rFonts w:ascii="仿宋_GB2312" w:hAnsi="仿宋_GB2312" w:cs="仿宋_GB2312" w:eastAsia="仿宋_GB2312"/>
              </w:rPr>
              <w:t>148,000.00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迷宫式滴灌带</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right"/>
            </w:pPr>
            <w:r>
              <w:rPr>
                <w:rFonts w:ascii="仿宋_GB2312" w:hAnsi="仿宋_GB2312" w:cs="仿宋_GB2312" w:eastAsia="仿宋_GB2312"/>
              </w:rPr>
              <w:t>39,000.00</w:t>
            </w:r>
          </w:p>
        </w:tc>
        <w:tc>
          <w:tcPr>
            <w:tcW w:type="dxa" w:w="831"/>
          </w:tcPr>
          <w:p>
            <w:pPr>
              <w:pStyle w:val="null5"/>
              <w:jc w:val="left"/>
            </w:pPr>
            <w:r>
              <w:rPr>
                <w:rFonts w:ascii="仿宋_GB2312" w:hAnsi="仿宋_GB2312" w:cs="仿宋_GB2312" w:eastAsia="仿宋_GB2312"/>
              </w:rPr>
              <w:t>捆</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西门塔尔牛胚胎</w:t>
            </w:r>
          </w:p>
        </w:tc>
        <w:tc>
          <w:tcPr>
            <w:tcW w:type="dxa" w:w="831"/>
          </w:tcPr>
          <w:p>
            <w:pPr>
              <w:pStyle w:val="null5"/>
              <w:jc w:val="right"/>
            </w:pPr>
            <w:r>
              <w:rPr>
                <w:rFonts w:ascii="仿宋_GB2312" w:hAnsi="仿宋_GB2312" w:cs="仿宋_GB2312" w:eastAsia="仿宋_GB2312"/>
              </w:rPr>
              <w:t>74.00</w:t>
            </w:r>
          </w:p>
        </w:tc>
        <w:tc>
          <w:tcPr>
            <w:tcW w:type="dxa" w:w="831"/>
          </w:tcPr>
          <w:p>
            <w:pPr>
              <w:pStyle w:val="null5"/>
              <w:jc w:val="right"/>
            </w:pPr>
            <w:r>
              <w:rPr>
                <w:rFonts w:ascii="仿宋_GB2312" w:hAnsi="仿宋_GB2312" w:cs="仿宋_GB2312" w:eastAsia="仿宋_GB2312"/>
              </w:rPr>
              <w:t>220,100.00</w:t>
            </w:r>
          </w:p>
        </w:tc>
        <w:tc>
          <w:tcPr>
            <w:tcW w:type="dxa" w:w="831"/>
          </w:tcPr>
          <w:p>
            <w:pPr>
              <w:pStyle w:val="null5"/>
              <w:jc w:val="left"/>
            </w:pPr>
            <w:r>
              <w:rPr>
                <w:rFonts w:ascii="仿宋_GB2312" w:hAnsi="仿宋_GB2312" w:cs="仿宋_GB2312" w:eastAsia="仿宋_GB2312"/>
              </w:rPr>
              <w:t>枚</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饲料玉米</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玉米抗倒增产剂</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145,000.00</w:t>
            </w:r>
          </w:p>
        </w:tc>
        <w:tc>
          <w:tcPr>
            <w:tcW w:type="dxa" w:w="831"/>
          </w:tcPr>
          <w:p>
            <w:pPr>
              <w:pStyle w:val="null5"/>
              <w:jc w:val="left"/>
            </w:pPr>
            <w:r>
              <w:rPr>
                <w:rFonts w:ascii="仿宋_GB2312" w:hAnsi="仿宋_GB2312" w:cs="仿宋_GB2312" w:eastAsia="仿宋_GB2312"/>
              </w:rPr>
              <w:t>件</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盐砖</w:t>
            </w:r>
          </w:p>
        </w:tc>
        <w:tc>
          <w:tcPr>
            <w:tcW w:type="dxa" w:w="831"/>
          </w:tcPr>
          <w:p>
            <w:pPr>
              <w:pStyle w:val="null5"/>
              <w:jc w:val="right"/>
            </w:pPr>
            <w:r>
              <w:rPr>
                <w:rFonts w:ascii="仿宋_GB2312" w:hAnsi="仿宋_GB2312" w:cs="仿宋_GB2312" w:eastAsia="仿宋_GB2312"/>
              </w:rPr>
              <w:t>42.00</w:t>
            </w:r>
          </w:p>
        </w:tc>
        <w:tc>
          <w:tcPr>
            <w:tcW w:type="dxa" w:w="831"/>
          </w:tcPr>
          <w:p>
            <w:pPr>
              <w:pStyle w:val="null5"/>
              <w:jc w:val="right"/>
            </w:pPr>
            <w:r>
              <w:rPr>
                <w:rFonts w:ascii="仿宋_GB2312" w:hAnsi="仿宋_GB2312" w:cs="仿宋_GB2312" w:eastAsia="仿宋_GB2312"/>
              </w:rPr>
              <w:t>98,910.00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1、供应商应按书面说明或承诺提供及时、快速、优质的售后 服务。 2、在正确储存条件下，一年内质量达到良种胚胎使用标准。在此期间 内发现质量问题，无偿负责补充新胚胎，并承担由此产生的一切费用。 3、本次采购所有物资，根据不同物资乙方需委派相对应具有相关业务资质的技术人员进行技术指导，为期三个月，期间所发生的一切费用由乙方自行承担，技术人员技术指导期间如发生一切意外事故均由乙方自行承担。</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内蒙古立琨建设工程咨询有限公司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内蒙古自治区赤峰市红山区内蒙古自治区赤峰市红山区桥北街道金宇国际C区12号楼04072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15049611669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巴林左旗农牧局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林东镇西城区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025450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史股长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0476-7898729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代理服务费收费标准：参照《内蒙古自治区建设工程招标代理服务收费指导意见》（内工建协〔2022〕34号）进行计算代理服务费用，下浮20%</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 xml:space="preserve"> 在线商谈，竞标供应商应自备音视频输入输出设备（摄像头、耳麦或话筒、音响），在磋商谈判环节同磋商（谈判）小组进行在线商谈，因竞标供应商自身原因导致无法进行在线商谈而产生的后果，由竞标供应商负责。</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巴林左旗农牧局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内蒙古立琨建设工程咨询有限公司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审查投标人提供的具有良好的商业信誉和健全的财务会计制度的相关材料。供应商提供以下任意一种均可：（1）供应商2023或2024年度经会计师事务所出具的财务 审计报告；（2）供应商基本开户银行近一年内出具的银行资信证明。（3）供应商出具的“具有良好的商业信誉和健全的财务会计制度”声明函。（格式自拟并加盖供应商公章）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提供以下任意一种均可：（1）须同时提供递交投标文件截止之日前一年内至少一个月的：①缴纳税收的相关凭据（税务机关提供的纳税凭据或银行入账单）；②缴纳社会保险 的凭证（专用收据或社会保险缴纳清单或其它缴纳凭证）；（2）供应商出具的“具有依法缴 纳税收和社会保障资金的良好记录”声明函。（格式自拟并加盖供应商公章）注：a、其他组 织和自然人也需要提供上述（1）或（2）的证明材料。b 、依法免税或不需要缴纳社会保障资金的供应商，提供相应证明材料或说明材料，无须提供上述（1）和（2）的证明材料。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2024年基层农技推广体系改革与建设补助项目物化采购</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签订政府采购合同后30日内完成供货并通过验收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巴林左旗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1、支付比例100% 。供应商在完成交货、验收合格后，凭《验收书》 支付合同总价款的100%。支付时间以地方财政拨付时间为准。，达到付款条件起30日，支付合同总金额的100.00%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是否接受进口产品 : 本次采购不接受进口产品投标</w:t>
              <w:br/>
              <w:t>报价要求 : 供应商的投标报价应包含本项目所有产品的购置、包装、运输、安 装、调试、培训、售后等伴随货物的服务等所有根据合同或其它原因应由供应商支付的税款和其它应交纳的费用。</w:t>
              <w:br/>
              <w:t>包装要求 : 标的物的包装应按照国家或者行业主管部门的技术规定执行，国家 或业务主管部门无技术规定的，应当按双方约定采取足以保护标的物安全、完好的包装方式</w:t>
              <w:br/>
              <w:t>（1）中标供应商应保证货物是原装、全新、未使用过的合格产品， 质量达到国家有关标准规范的合格要求。 （2）交货前，采购人有权对供应商投标文件中提供的相关资料的真实性进行核实，一经查实提供虚假材料，将上报监督部门，取消中标资格，并给以相应处罚。 （3）交货时须先出具符合国家规定的有关货物的合格证明材料（合格证书等）、详细技术资料（说明书或产品彩页或技术白皮书或检测报告等）。中标供应商应保证所供产品与投标文件中承诺的一致，否则按违约处理。 （4）有效期要求：供应商所投货物载明的有效期在24个月之内（含）的，供应商应保证在供货时剩余有效期不少于其所载明的有效期的50%。所投货物载明的有效期在24个月以上（不含）的，供 应商应保证在供货时剩余有效期不少于12个月。否则供应商应免费更换。 （5）货物到达采购人要求的地点后，采购人组织验收小组对货物进行验收，验 收合格方可交货。 （6）所涉及到的所有材料必须符合国家相关标准。 售后服务及培训要求: （1）产品到货后如因非人为因素导致的产品质量问题 供应商应免费更换。 （2）采购人对供应商产品质量有异议，供应商应在2小时 内响应，12小时内委派售后服务人员到达现场处理。节假日照常服务。若供应 商没有在规定时间内作出有效处理，采购人可采取必要的补救措施，但风险和 费用将由中标供应商承担。 （3）如个别产品需工程师培训，供应商需提供免 费产品培训。 其他说明及要求: 未尽事宜按照国家、行业、地区相关规定和规范执行。 中标服务费说明: 已确认中标的供应商应在缴纳中标服务费后到代理公司领取 纸质成交通知书，领取后方可签订采购合同。</w:t>
              <w:br/>
              <w:t xml:space="preserve"> 其他说明及要求 : 未尽事宜按照国家、行业、地区相关规定和规范执行</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1、供应商应按书面说明或承诺提供及时、快速、优质的售后 服务。 2、在正确储存条件下，一年内质量达到良种胚胎使用标准。在此期间 内发现质量问题，无偿负责补充新胚胎，并承担由此产生的一切费用。3、本次采购所有物资，根据不同物资乙方需委派相对应具有相关业务资质的技术人员进行技术指导，为期三个月，期间所发生的一切费用由乙方自行承担，技术人员技术指导期间如发生一切意外事故均由乙方自行承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标的名称：长效复合肥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8"/>
              <w:jc w:val="both"/>
            </w:pPr>
            <w:r>
              <w:rPr>
                <w:rFonts w:ascii="仿宋_GB2312" w:hAnsi="仿宋_GB2312" w:cs="仿宋_GB2312" w:eastAsia="仿宋_GB2312"/>
                <w:sz w:val="24"/>
                <w:color w:val="000000"/>
              </w:rPr>
              <w:t>长效复合肥</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    ≥12</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2、有效磷(P₂O₅)的质量分数         ≥18</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3、水溶磷占有效磷百分率             ≥60%</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4、氧化钾(K₂O)的质量分数           ≥15</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5、总养分（N+P₂O₅+K₂O）          ≥45%</w:t>
            </w:r>
          </w:p>
          <w:p>
            <w:pPr>
              <w:pStyle w:val="null5"/>
              <w:jc w:val="both"/>
            </w:pPr>
            <w:r>
              <w:rPr>
                <w:rFonts w:ascii="仿宋_GB2312" w:hAnsi="仿宋_GB2312" w:cs="仿宋_GB2312" w:eastAsia="仿宋_GB2312"/>
                <w:sz w:val="24"/>
                <w:color w:val="000000"/>
              </w:rPr>
              <w:t xml:space="preserve">6、粒度(100mm-4.75mm </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≥90%</w:t>
            </w:r>
          </w:p>
          <w:p>
            <w:pPr>
              <w:pStyle w:val="null5"/>
              <w:jc w:val="both"/>
            </w:pPr>
            <w:r>
              <w:rPr>
                <w:rFonts w:ascii="仿宋_GB2312" w:hAnsi="仿宋_GB2312" w:cs="仿宋_GB2312" w:eastAsia="仿宋_GB2312"/>
                <w:sz w:val="24"/>
                <w:color w:val="000000"/>
              </w:rPr>
              <w:t>7、各项指标需符合国家及行业标准要求</w:t>
            </w:r>
          </w:p>
          <w:p>
            <w:pPr>
              <w:pStyle w:val="null5"/>
              <w:jc w:val="left"/>
            </w:pPr>
            <w:r>
              <w:rPr>
                <w:rFonts w:ascii="仿宋_GB2312" w:hAnsi="仿宋_GB2312" w:cs="仿宋_GB2312" w:eastAsia="仿宋_GB2312"/>
                <w:sz w:val="24"/>
                <w:color w:val="000000"/>
              </w:rPr>
              <w:t>8、提供有效的《全国工业产品生产经营许可证》、第三方检测机构出具的《质量检测报告》复印件(代理商可提供厂家相关资质)放在响应文件中。</w:t>
            </w:r>
          </w:p>
        </w:tc>
      </w:tr>
    </w:tbl>
    <w:p>
      <w:pPr>
        <w:pStyle w:val="null5"/>
        <w:jc w:val="left"/>
      </w:pPr>
      <w:r>
        <w:rPr>
          <w:rFonts w:ascii="仿宋_GB2312" w:hAnsi="仿宋_GB2312" w:cs="仿宋_GB2312" w:eastAsia="仿宋_GB2312"/>
        </w:rPr>
        <w:t>标的名称：控释肥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color w:val="000000"/>
              </w:rPr>
              <w:t>控释</w:t>
            </w:r>
            <w:r>
              <w:rPr>
                <w:rFonts w:ascii="仿宋_GB2312" w:hAnsi="仿宋_GB2312" w:cs="仿宋_GB2312" w:eastAsia="仿宋_GB2312"/>
                <w:sz w:val="24"/>
                <w:color w:val="000000"/>
              </w:rPr>
              <w:t>肥</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总氮</w:t>
            </w:r>
            <w:r>
              <w:rPr>
                <w:rFonts w:ascii="仿宋_GB2312" w:hAnsi="仿宋_GB2312" w:cs="仿宋_GB2312" w:eastAsia="仿宋_GB2312"/>
                <w:sz w:val="24"/>
                <w:color w:val="000000"/>
              </w:rPr>
              <w:t>(N)的质量分数    ≥25</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2、有效磷(P₂O₅)的质量分数         ≥10</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3、水溶磷占有效磷百分率             ≥60%</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4、氧化钾(K₂O)的质量分数           ≥13</w:t>
            </w:r>
            <w:r>
              <w:rPr>
                <w:rFonts w:ascii="仿宋_GB2312" w:hAnsi="仿宋_GB2312" w:cs="仿宋_GB2312" w:eastAsia="仿宋_GB2312"/>
                <w:sz w:val="13"/>
                <w:color w:val="000000"/>
              </w:rPr>
              <w:t>-1.5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5、总养分（N+P₂O₅+K₂O）          ≥48%</w:t>
            </w:r>
          </w:p>
          <w:p>
            <w:pPr>
              <w:pStyle w:val="null5"/>
              <w:jc w:val="both"/>
            </w:pPr>
            <w:r>
              <w:rPr>
                <w:rFonts w:ascii="仿宋_GB2312" w:hAnsi="仿宋_GB2312" w:cs="仿宋_GB2312" w:eastAsia="仿宋_GB2312"/>
                <w:sz w:val="24"/>
                <w:color w:val="000000"/>
              </w:rPr>
              <w:t>6、氯离子(C1)的质量分数             ≤30%</w:t>
            </w:r>
          </w:p>
          <w:p>
            <w:pPr>
              <w:pStyle w:val="null5"/>
              <w:jc w:val="both"/>
            </w:pPr>
            <w:r>
              <w:rPr>
                <w:rFonts w:ascii="仿宋_GB2312" w:hAnsi="仿宋_GB2312" w:cs="仿宋_GB2312" w:eastAsia="仿宋_GB2312"/>
                <w:sz w:val="24"/>
                <w:color w:val="000000"/>
              </w:rPr>
              <w:t>7、粒度(100mm-4.75mm</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≥90%</w:t>
            </w:r>
          </w:p>
          <w:p>
            <w:pPr>
              <w:pStyle w:val="null5"/>
              <w:jc w:val="both"/>
            </w:pPr>
            <w:r>
              <w:rPr>
                <w:rFonts w:ascii="仿宋_GB2312" w:hAnsi="仿宋_GB2312" w:cs="仿宋_GB2312" w:eastAsia="仿宋_GB2312"/>
                <w:sz w:val="24"/>
                <w:color w:val="000000"/>
              </w:rPr>
              <w:t>8、各项指标需符合国家及行业标准要求</w:t>
            </w:r>
          </w:p>
          <w:p>
            <w:pPr>
              <w:pStyle w:val="null5"/>
              <w:jc w:val="left"/>
            </w:pPr>
            <w:r>
              <w:rPr>
                <w:rFonts w:ascii="仿宋_GB2312" w:hAnsi="仿宋_GB2312" w:cs="仿宋_GB2312" w:eastAsia="仿宋_GB2312"/>
                <w:sz w:val="24"/>
                <w:color w:val="000000"/>
              </w:rPr>
              <w:t>9、提供有效的《全国工业产品生产经营许可证》、第三方检测机构出具的《质量检测报告》复印件(代理商可提供厂家相关资质)放在响应文件中。</w:t>
            </w:r>
          </w:p>
        </w:tc>
      </w:tr>
    </w:tbl>
    <w:p>
      <w:pPr>
        <w:pStyle w:val="null5"/>
        <w:jc w:val="left"/>
      </w:pPr>
      <w:r>
        <w:rPr>
          <w:rFonts w:ascii="仿宋_GB2312" w:hAnsi="仿宋_GB2312" w:cs="仿宋_GB2312" w:eastAsia="仿宋_GB2312"/>
        </w:rPr>
        <w:t>标的名称：迷宫式滴灌带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9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迷宫式滴灌带</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外观：产品色泽均为一致，表面光滑、平整、不应有气泡、挂料线、明显的未塑化物及杂质、迷宫流道成型饱满</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不透光性：</w:t>
            </w:r>
            <w:r>
              <w:rPr>
                <w:rFonts w:ascii="仿宋_GB2312" w:hAnsi="仿宋_GB2312" w:cs="仿宋_GB2312" w:eastAsia="仿宋_GB2312"/>
              </w:rPr>
              <w:t xml:space="preserve">                       </w:t>
            </w:r>
            <w:r>
              <w:rPr>
                <w:rFonts w:ascii="仿宋_GB2312" w:hAnsi="仿宋_GB2312" w:cs="仿宋_GB2312" w:eastAsia="仿宋_GB2312"/>
                <w:sz w:val="24"/>
                <w:color w:val="000000"/>
              </w:rPr>
              <w:t>不透光</w:t>
            </w:r>
          </w:p>
          <w:p>
            <w:pPr>
              <w:pStyle w:val="null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内径及偏差</w:t>
            </w:r>
            <w:r>
              <w:rPr>
                <w:rFonts w:ascii="仿宋_GB2312" w:hAnsi="仿宋_GB2312" w:cs="仿宋_GB2312" w:eastAsia="仿宋_GB2312"/>
                <w:sz w:val="24"/>
                <w:color w:val="000000"/>
              </w:rPr>
              <w:t>mm：</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16±4.0</w:t>
            </w:r>
          </w:p>
          <w:p>
            <w:pPr>
              <w:pStyle w:val="null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壁厚极限偏差</w:t>
            </w:r>
            <w:r>
              <w:rPr>
                <w:rFonts w:ascii="仿宋_GB2312" w:hAnsi="仿宋_GB2312" w:cs="仿宋_GB2312" w:eastAsia="仿宋_GB2312"/>
                <w:sz w:val="24"/>
                <w:color w:val="000000"/>
              </w:rPr>
              <w:t>mm：</w:t>
            </w:r>
            <w:r>
              <w:rPr>
                <w:rFonts w:ascii="仿宋_GB2312" w:hAnsi="仿宋_GB2312" w:cs="仿宋_GB2312" w:eastAsia="仿宋_GB2312"/>
              </w:rPr>
              <w:t xml:space="preserve">                 </w:t>
            </w:r>
            <w:r>
              <w:rPr>
                <w:rFonts w:ascii="仿宋_GB2312" w:hAnsi="仿宋_GB2312" w:cs="仿宋_GB2312" w:eastAsia="仿宋_GB2312"/>
                <w:sz w:val="24"/>
                <w:color w:val="000000"/>
              </w:rPr>
              <w:t>0.16</w:t>
            </w:r>
            <w:r>
              <w:rPr>
                <w:rFonts w:ascii="仿宋_GB2312" w:hAnsi="仿宋_GB2312" w:cs="仿宋_GB2312" w:eastAsia="仿宋_GB2312"/>
                <w:sz w:val="24"/>
                <w:color w:val="000000"/>
              </w:rPr>
              <w:t>±0.08</w:t>
            </w:r>
          </w:p>
          <w:p>
            <w:pPr>
              <w:pStyle w:val="null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滴水孔间距偏差</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w:t>
            </w:r>
          </w:p>
          <w:p>
            <w:pPr>
              <w:pStyle w:val="null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耐水压试验</w:t>
            </w:r>
            <w:r>
              <w:rPr>
                <w:rFonts w:ascii="仿宋_GB2312" w:hAnsi="仿宋_GB2312" w:cs="仿宋_GB2312" w:eastAsia="仿宋_GB2312"/>
                <w:sz w:val="24"/>
                <w:color w:val="000000"/>
              </w:rPr>
              <w:t>120kPa：</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1h</w:t>
            </w:r>
            <w:r>
              <w:rPr>
                <w:rFonts w:ascii="仿宋_GB2312" w:hAnsi="仿宋_GB2312" w:cs="仿宋_GB2312" w:eastAsia="仿宋_GB2312"/>
                <w:sz w:val="24"/>
                <w:color w:val="000000"/>
              </w:rPr>
              <w:t>无损坏、无渗漏</w:t>
            </w:r>
          </w:p>
          <w:p>
            <w:pPr>
              <w:pStyle w:val="null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爆破压力</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≥150</w:t>
            </w:r>
            <w:r>
              <w:rPr>
                <w:rFonts w:ascii="仿宋_GB2312" w:hAnsi="仿宋_GB2312" w:cs="仿宋_GB2312" w:eastAsia="仿宋_GB2312"/>
                <w:sz w:val="24"/>
                <w:color w:val="000000"/>
              </w:rPr>
              <w:t>kPa</w:t>
            </w:r>
          </w:p>
          <w:p>
            <w:pPr>
              <w:pStyle w:val="null5"/>
              <w:jc w:val="both"/>
            </w:pPr>
            <w:r>
              <w:rPr>
                <w:rFonts w:ascii="仿宋_GB2312" w:hAnsi="仿宋_GB2312" w:cs="仿宋_GB2312" w:eastAsia="仿宋_GB2312"/>
                <w:sz w:val="24"/>
                <w:color w:val="000000"/>
              </w:rPr>
              <w:t>8、各项指标需符合Q/YQFSD001-2021《一次性单翼迷宫式滴灌带》或 Q/CTHJY001-2023《一次性单翼迷宫式滴灌带》或QNZJS1-2024《单翼迷宫式滴灌带》标准要求。</w:t>
            </w:r>
          </w:p>
          <w:p>
            <w:pPr>
              <w:pStyle w:val="null5"/>
              <w:jc w:val="left"/>
            </w:pPr>
            <w:r>
              <w:rPr>
                <w:rFonts w:ascii="仿宋_GB2312" w:hAnsi="仿宋_GB2312" w:cs="仿宋_GB2312" w:eastAsia="仿宋_GB2312"/>
                <w:sz w:val="24"/>
                <w:color w:val="000000"/>
              </w:rPr>
              <w:t>9、提供第三方检测机构出具的《质量检测报告》(代理商可提供厂家相关资质)复印件放在响应文件中。</w:t>
            </w:r>
          </w:p>
        </w:tc>
      </w:tr>
    </w:tbl>
    <w:p>
      <w:pPr>
        <w:pStyle w:val="null5"/>
        <w:jc w:val="left"/>
      </w:pPr>
      <w:r>
        <w:rPr>
          <w:rFonts w:ascii="仿宋_GB2312" w:hAnsi="仿宋_GB2312" w:cs="仿宋_GB2312" w:eastAsia="仿宋_GB2312"/>
        </w:rPr>
        <w:t>标的名称：西门塔尔牛胚胎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color w:val="000000"/>
              </w:rPr>
              <w:t>西门塔尔牛胚胎</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1、必须保证</w:t>
            </w:r>
            <w:r>
              <w:rPr>
                <w:rFonts w:ascii="仿宋_GB2312" w:hAnsi="仿宋_GB2312" w:cs="仿宋_GB2312" w:eastAsia="仿宋_GB2312"/>
                <w:sz w:val="24"/>
                <w:color w:val="000000"/>
              </w:rPr>
              <w:t>西门塔尔牛</w:t>
            </w:r>
            <w:r>
              <w:rPr>
                <w:rFonts w:ascii="仿宋_GB2312" w:hAnsi="仿宋_GB2312" w:cs="仿宋_GB2312" w:eastAsia="仿宋_GB2312"/>
                <w:sz w:val="24"/>
                <w:color w:val="000000"/>
              </w:rPr>
              <w:t>胚胎达到</w:t>
            </w:r>
            <w:r>
              <w:rPr>
                <w:rFonts w:ascii="仿宋_GB2312" w:hAnsi="仿宋_GB2312" w:cs="仿宋_GB2312" w:eastAsia="仿宋_GB2312"/>
                <w:sz w:val="24"/>
                <w:color w:val="000000"/>
              </w:rPr>
              <w:t>A级标准。</w:t>
            </w:r>
          </w:p>
          <w:p>
            <w:pPr>
              <w:pStyle w:val="null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胚胎移植成功率应</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提供购买胚胎完整的三代系谱档案。</w:t>
            </w:r>
          </w:p>
          <w:p>
            <w:pPr>
              <w:pStyle w:val="null5"/>
              <w:jc w:val="left"/>
            </w:pPr>
            <w:r>
              <w:rPr>
                <w:rFonts w:ascii="仿宋_GB2312" w:hAnsi="仿宋_GB2312" w:cs="仿宋_GB2312" w:eastAsia="仿宋_GB2312"/>
                <w:sz w:val="24"/>
                <w:color w:val="000000"/>
              </w:rPr>
              <w:t>4、胚胎移植手术的操作人员必须具有国家职业兽医资格证书或相关技术培训结业证书等资质，相关证书放在响应文件中。</w:t>
            </w:r>
          </w:p>
          <w:p>
            <w:pPr>
              <w:pStyle w:val="null5"/>
              <w:jc w:val="left"/>
            </w:pPr>
          </w:p>
        </w:tc>
      </w:tr>
    </w:tbl>
    <w:p>
      <w:pPr>
        <w:pStyle w:val="null5"/>
        <w:jc w:val="left"/>
      </w:pPr>
      <w:r>
        <w:rPr>
          <w:rFonts w:ascii="仿宋_GB2312" w:hAnsi="仿宋_GB2312" w:cs="仿宋_GB2312" w:eastAsia="仿宋_GB2312"/>
        </w:rPr>
        <w:t>标的名称：饲料玉米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color w:val="000000"/>
              </w:rPr>
              <w:t>饲料玉米</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1、水分：                        ≤14%。</w:t>
            </w:r>
          </w:p>
          <w:p>
            <w:pPr>
              <w:pStyle w:val="null5"/>
              <w:jc w:val="both"/>
            </w:pPr>
            <w:r>
              <w:rPr>
                <w:rFonts w:ascii="仿宋_GB2312" w:hAnsi="仿宋_GB2312" w:cs="仿宋_GB2312" w:eastAsia="仿宋_GB2312"/>
                <w:sz w:val="24"/>
                <w:color w:val="000000"/>
              </w:rPr>
              <w:t>2、容重：                        ≥720g/L。</w:t>
            </w:r>
          </w:p>
          <w:p>
            <w:pPr>
              <w:pStyle w:val="null5"/>
              <w:jc w:val="both"/>
            </w:pPr>
            <w:r>
              <w:rPr>
                <w:rFonts w:ascii="仿宋_GB2312" w:hAnsi="仿宋_GB2312" w:cs="仿宋_GB2312" w:eastAsia="仿宋_GB2312"/>
                <w:sz w:val="24"/>
                <w:color w:val="000000"/>
              </w:rPr>
              <w:t>3、不完善粒：                    ≤4%。</w:t>
            </w:r>
          </w:p>
          <w:p>
            <w:pPr>
              <w:pStyle w:val="null5"/>
              <w:jc w:val="both"/>
            </w:pPr>
            <w:r>
              <w:rPr>
                <w:rFonts w:ascii="仿宋_GB2312" w:hAnsi="仿宋_GB2312" w:cs="仿宋_GB2312" w:eastAsia="仿宋_GB2312"/>
                <w:sz w:val="24"/>
                <w:color w:val="000000"/>
              </w:rPr>
              <w:t>4、霉变粒：                      ≤2%。</w:t>
            </w:r>
          </w:p>
          <w:p>
            <w:pPr>
              <w:pStyle w:val="null5"/>
              <w:jc w:val="both"/>
            </w:pPr>
            <w:r>
              <w:rPr>
                <w:rFonts w:ascii="仿宋_GB2312" w:hAnsi="仿宋_GB2312" w:cs="仿宋_GB2312" w:eastAsia="仿宋_GB2312"/>
                <w:sz w:val="24"/>
                <w:color w:val="000000"/>
              </w:rPr>
              <w:t>5、焦糊粒：                      ≤2%。</w:t>
            </w:r>
          </w:p>
          <w:p>
            <w:pPr>
              <w:pStyle w:val="null5"/>
              <w:jc w:val="both"/>
            </w:pPr>
            <w:r>
              <w:rPr>
                <w:rFonts w:ascii="仿宋_GB2312" w:hAnsi="仿宋_GB2312" w:cs="仿宋_GB2312" w:eastAsia="仿宋_GB2312"/>
                <w:sz w:val="24"/>
                <w:color w:val="000000"/>
              </w:rPr>
              <w:t>6、异种粮粒：                    ≤5%。</w:t>
            </w:r>
          </w:p>
          <w:p>
            <w:pPr>
              <w:pStyle w:val="null5"/>
              <w:jc w:val="both"/>
            </w:pPr>
            <w:r>
              <w:rPr>
                <w:rFonts w:ascii="仿宋_GB2312" w:hAnsi="仿宋_GB2312" w:cs="仿宋_GB2312" w:eastAsia="仿宋_GB2312"/>
                <w:sz w:val="24"/>
                <w:color w:val="000000"/>
              </w:rPr>
              <w:t>7、杂质：                        ≤1.0%。</w:t>
            </w:r>
          </w:p>
          <w:p>
            <w:pPr>
              <w:pStyle w:val="null5"/>
              <w:jc w:val="both"/>
            </w:pPr>
            <w:r>
              <w:rPr>
                <w:rFonts w:ascii="仿宋_GB2312" w:hAnsi="仿宋_GB2312" w:cs="仿宋_GB2312" w:eastAsia="仿宋_GB2312"/>
                <w:sz w:val="24"/>
                <w:color w:val="000000"/>
              </w:rPr>
              <w:t>8、小粒玉米（直径小于6×6mm的未成熟籽粒）：≤2%。</w:t>
            </w:r>
          </w:p>
          <w:p>
            <w:pPr>
              <w:pStyle w:val="null5"/>
              <w:jc w:val="left"/>
            </w:pPr>
            <w:r>
              <w:rPr>
                <w:rFonts w:ascii="仿宋_GB2312" w:hAnsi="仿宋_GB2312" w:cs="仿宋_GB2312" w:eastAsia="仿宋_GB2312"/>
                <w:sz w:val="24"/>
                <w:color w:val="000000"/>
              </w:rPr>
              <w:t>9、各项指标需符合国家及行业标准要求。到货后，甲方随机质量抽检，以随机检测实际为准，第三方抽样检测费用由乙方承担，不符合质检参数标准甲方拒收。</w:t>
            </w:r>
          </w:p>
        </w:tc>
      </w:tr>
    </w:tbl>
    <w:p>
      <w:pPr>
        <w:pStyle w:val="null5"/>
        <w:jc w:val="left"/>
      </w:pPr>
      <w:r>
        <w:rPr>
          <w:rFonts w:ascii="仿宋_GB2312" w:hAnsi="仿宋_GB2312" w:cs="仿宋_GB2312" w:eastAsia="仿宋_GB2312"/>
        </w:rPr>
        <w:t>标的名称：玉米抗倒增产剂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color w:val="000000"/>
              </w:rPr>
              <w:t>玉米抗倒增产剂</w:t>
            </w:r>
            <w:r>
              <w:rPr>
                <w:rFonts w:ascii="仿宋_GB2312" w:hAnsi="仿宋_GB2312" w:cs="仿宋_GB2312" w:eastAsia="仿宋_GB2312"/>
                <w:sz w:val="24"/>
                <w:color w:val="000000"/>
              </w:rPr>
              <w:t>（含氨基酸水溶肥料）：</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1、外观：均匀的液体或固体</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2、游离氨基酸含量：                 ≥100g/L</w:t>
            </w:r>
          </w:p>
          <w:p>
            <w:pPr>
              <w:pStyle w:val="null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3、微量元素含量：                   ≥20g/L</w:t>
            </w:r>
          </w:p>
          <w:p>
            <w:pPr>
              <w:pStyle w:val="null5"/>
              <w:jc w:val="both"/>
            </w:pPr>
            <w:r>
              <w:rPr>
                <w:rFonts w:ascii="仿宋_GB2312" w:hAnsi="仿宋_GB2312" w:cs="仿宋_GB2312" w:eastAsia="仿宋_GB2312"/>
                <w:sz w:val="24"/>
                <w:color w:val="000000"/>
              </w:rPr>
              <w:t>4、水不溶物含量：                   ≤50g/L</w:t>
            </w:r>
          </w:p>
          <w:p>
            <w:pPr>
              <w:pStyle w:val="null5"/>
              <w:jc w:val="both"/>
            </w:pPr>
            <w:r>
              <w:rPr>
                <w:rFonts w:ascii="仿宋_GB2312" w:hAnsi="仿宋_GB2312" w:cs="仿宋_GB2312" w:eastAsia="仿宋_GB2312"/>
                <w:sz w:val="24"/>
                <w:color w:val="000000"/>
              </w:rPr>
              <w:t>5、PH（1：:20倍稀释）               3.0-9.0</w:t>
            </w:r>
          </w:p>
          <w:p>
            <w:pPr>
              <w:pStyle w:val="null5"/>
              <w:jc w:val="both"/>
            </w:pPr>
            <w:r>
              <w:rPr>
                <w:rFonts w:ascii="仿宋_GB2312" w:hAnsi="仿宋_GB2312" w:cs="仿宋_GB2312" w:eastAsia="仿宋_GB2312"/>
                <w:sz w:val="24"/>
                <w:color w:val="000000"/>
              </w:rPr>
              <w:t>6、总汞（Hg）(以实物计):            ≤5mg/KG</w:t>
            </w:r>
          </w:p>
          <w:p>
            <w:pPr>
              <w:pStyle w:val="null5"/>
              <w:jc w:val="both"/>
            </w:pPr>
            <w:r>
              <w:rPr>
                <w:rFonts w:ascii="仿宋_GB2312" w:hAnsi="仿宋_GB2312" w:cs="仿宋_GB2312" w:eastAsia="仿宋_GB2312"/>
                <w:sz w:val="24"/>
                <w:color w:val="000000"/>
              </w:rPr>
              <w:t>7、砷（As）（以元素计）:            ≤10mg/KG</w:t>
            </w:r>
          </w:p>
          <w:p>
            <w:pPr>
              <w:pStyle w:val="null5"/>
              <w:jc w:val="both"/>
            </w:pPr>
            <w:r>
              <w:rPr>
                <w:rFonts w:ascii="仿宋_GB2312" w:hAnsi="仿宋_GB2312" w:cs="仿宋_GB2312" w:eastAsia="仿宋_GB2312"/>
                <w:sz w:val="24"/>
                <w:color w:val="000000"/>
              </w:rPr>
              <w:t>8、总镉（Cd）(以实物计)：           ≤3mg/KG</w:t>
            </w:r>
          </w:p>
          <w:p>
            <w:pPr>
              <w:pStyle w:val="null5"/>
              <w:jc w:val="both"/>
            </w:pPr>
            <w:r>
              <w:rPr>
                <w:rFonts w:ascii="仿宋_GB2312" w:hAnsi="仿宋_GB2312" w:cs="仿宋_GB2312" w:eastAsia="仿宋_GB2312"/>
                <w:sz w:val="24"/>
                <w:color w:val="000000"/>
              </w:rPr>
              <w:t>9、铅（Pb）（以元素计）：           ≤50mg/KG</w:t>
            </w:r>
          </w:p>
          <w:p>
            <w:pPr>
              <w:pStyle w:val="null5"/>
              <w:jc w:val="both"/>
            </w:pPr>
            <w:r>
              <w:rPr>
                <w:rFonts w:ascii="仿宋_GB2312" w:hAnsi="仿宋_GB2312" w:cs="仿宋_GB2312" w:eastAsia="仿宋_GB2312"/>
                <w:sz w:val="24"/>
                <w:color w:val="000000"/>
              </w:rPr>
              <w:t>10、铬（Cr）（以元素计）：           ≤50mg/KG</w:t>
            </w:r>
          </w:p>
          <w:p>
            <w:pPr>
              <w:pStyle w:val="null5"/>
              <w:jc w:val="both"/>
            </w:pPr>
            <w:r>
              <w:rPr>
                <w:rFonts w:ascii="仿宋_GB2312" w:hAnsi="仿宋_GB2312" w:cs="仿宋_GB2312" w:eastAsia="仿宋_GB2312"/>
                <w:sz w:val="24"/>
                <w:color w:val="000000"/>
              </w:rPr>
              <w:t>11、蛔虫死亡率：                     ≥95%</w:t>
            </w:r>
          </w:p>
          <w:p>
            <w:pPr>
              <w:pStyle w:val="null5"/>
              <w:jc w:val="both"/>
            </w:pPr>
            <w:r>
              <w:rPr>
                <w:rFonts w:ascii="仿宋_GB2312" w:hAnsi="仿宋_GB2312" w:cs="仿宋_GB2312" w:eastAsia="仿宋_GB2312"/>
                <w:sz w:val="24"/>
                <w:color w:val="000000"/>
              </w:rPr>
              <w:t>12、粪大肠菌群数：                   ≤100个/ML</w:t>
            </w:r>
          </w:p>
          <w:p>
            <w:pPr>
              <w:pStyle w:val="null5"/>
              <w:jc w:val="left"/>
            </w:pPr>
            <w:r>
              <w:rPr>
                <w:rFonts w:ascii="仿宋_GB2312" w:hAnsi="仿宋_GB2312" w:cs="仿宋_GB2312" w:eastAsia="仿宋_GB2312"/>
                <w:sz w:val="24"/>
                <w:color w:val="000000"/>
              </w:rPr>
              <w:t>13、各项指标需符合国家及行业标准要求，提供第三方检测机构出具的《质量检测报告》(代理商可提供厂家相关资质)复印件放在响应文件中。</w:t>
            </w:r>
          </w:p>
        </w:tc>
      </w:tr>
    </w:tbl>
    <w:p>
      <w:pPr>
        <w:pStyle w:val="null5"/>
        <w:jc w:val="left"/>
      </w:pPr>
      <w:r>
        <w:rPr>
          <w:rFonts w:ascii="仿宋_GB2312" w:hAnsi="仿宋_GB2312" w:cs="仿宋_GB2312" w:eastAsia="仿宋_GB2312"/>
        </w:rPr>
        <w:t>标的名称：盐砖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both"/>
            </w:pPr>
            <w:r>
              <w:rPr>
                <w:rFonts w:ascii="仿宋_GB2312" w:hAnsi="仿宋_GB2312" w:cs="仿宋_GB2312" w:eastAsia="仿宋_GB2312"/>
                <w:sz w:val="24"/>
                <w:color w:val="000000"/>
              </w:rPr>
              <w:t>盐砖</w:t>
            </w:r>
            <w:r>
              <w:rPr>
                <w:rFonts w:ascii="仿宋_GB2312" w:hAnsi="仿宋_GB2312" w:cs="仿宋_GB2312" w:eastAsia="仿宋_GB2312"/>
                <w:sz w:val="24"/>
                <w:color w:val="000000"/>
              </w:rPr>
              <w:t>:</w:t>
            </w:r>
          </w:p>
          <w:p>
            <w:pPr>
              <w:pStyle w:val="null5"/>
              <w:jc w:val="both"/>
            </w:pPr>
            <w:r>
              <w:rPr>
                <w:rFonts w:ascii="仿宋_GB2312" w:hAnsi="仿宋_GB2312" w:cs="仿宋_GB2312" w:eastAsia="仿宋_GB2312"/>
                <w:sz w:val="24"/>
                <w:color w:val="000000"/>
              </w:rPr>
              <w:t>1、铁含量：                         ≥5mg/kg</w:t>
            </w:r>
          </w:p>
          <w:p>
            <w:pPr>
              <w:pStyle w:val="null5"/>
              <w:jc w:val="both"/>
            </w:pPr>
            <w:r>
              <w:rPr>
                <w:rFonts w:ascii="仿宋_GB2312" w:hAnsi="仿宋_GB2312" w:cs="仿宋_GB2312" w:eastAsia="仿宋_GB2312"/>
                <w:sz w:val="24"/>
                <w:color w:val="000000"/>
              </w:rPr>
              <w:t>2、锰含量：                         ≥5mg/kg</w:t>
            </w:r>
          </w:p>
          <w:p>
            <w:pPr>
              <w:pStyle w:val="null5"/>
              <w:jc w:val="both"/>
            </w:pPr>
            <w:r>
              <w:rPr>
                <w:rFonts w:ascii="仿宋_GB2312" w:hAnsi="仿宋_GB2312" w:cs="仿宋_GB2312" w:eastAsia="仿宋_GB2312"/>
                <w:sz w:val="24"/>
                <w:color w:val="000000"/>
              </w:rPr>
              <w:t>3、锌含量：                         ≥5mg/kg</w:t>
            </w:r>
          </w:p>
          <w:p>
            <w:pPr>
              <w:pStyle w:val="null5"/>
              <w:jc w:val="both"/>
            </w:pPr>
            <w:r>
              <w:rPr>
                <w:rFonts w:ascii="仿宋_GB2312" w:hAnsi="仿宋_GB2312" w:cs="仿宋_GB2312" w:eastAsia="仿宋_GB2312"/>
                <w:sz w:val="24"/>
                <w:color w:val="000000"/>
              </w:rPr>
              <w:t>4、钴含量：                         ≥0.1mg/kg</w:t>
            </w:r>
          </w:p>
          <w:p>
            <w:pPr>
              <w:pStyle w:val="null5"/>
              <w:jc w:val="both"/>
            </w:pPr>
            <w:r>
              <w:rPr>
                <w:rFonts w:ascii="仿宋_GB2312" w:hAnsi="仿宋_GB2312" w:cs="仿宋_GB2312" w:eastAsia="仿宋_GB2312"/>
                <w:sz w:val="24"/>
                <w:color w:val="000000"/>
              </w:rPr>
              <w:t>5、水溶性氯化物含量：               ≥0.05%</w:t>
            </w:r>
          </w:p>
          <w:p>
            <w:pPr>
              <w:pStyle w:val="null5"/>
              <w:jc w:val="both"/>
            </w:pPr>
            <w:r>
              <w:rPr>
                <w:rFonts w:ascii="仿宋_GB2312" w:hAnsi="仿宋_GB2312" w:cs="仿宋_GB2312" w:eastAsia="仿宋_GB2312"/>
                <w:sz w:val="24"/>
                <w:color w:val="000000"/>
              </w:rPr>
              <w:t>6.提供有效的《饲料生产许可证》复印件许可范围添加剂预混合饲料(代理商可提供厂家相关资质)复印件放在响应文件中。</w:t>
            </w:r>
          </w:p>
          <w:p>
            <w:pPr>
              <w:pStyle w:val="null5"/>
              <w:jc w:val="left"/>
            </w:pPr>
            <w:r>
              <w:rPr>
                <w:rFonts w:ascii="仿宋_GB2312" w:hAnsi="仿宋_GB2312" w:cs="仿宋_GB2312" w:eastAsia="仿宋_GB2312"/>
                <w:sz w:val="24"/>
                <w:color w:val="000000"/>
              </w:rPr>
              <w:t>7.到货后，甲方随机质量抽检，以实际检测为准，第三方检测费用由乙方承担，不符合质检参数标准甲方拒收。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技术参数全部满足招标文件要求的得15分，其中标“● ”重要技术参数，投标供应商需提供佐证材料(产品检测报告或鉴定证书或技术参数详细描述或产品彩页或白皮书或技术参数要求的其他材料等），标“● ” 的重要技术参数有一项不满足扣3分，其他参数有一项不满足扣2分，扣完15分为止。（注：为防止误评或漏评，投标单位需在其技术规格响应 表中写明相应的佐证材料的名称、页码、用于佐证第几条并在佐证材料上做出标记。未附相关技术佐证文件或提供的技术佐证文件未真实反映该指标参数的，评标委员会有理由认为该指标参数不满足招标文件要求的技术参数指标）</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根据投标人提供的供货方案进行评审： 方案内容包含但不限于： 1.整体供货方案、供货内容； 2.进度及保障措施； 3.质量保证措施； 4.服务方案及保障措施；以上内容满分12分，每有一项内容存在缺陷，扣3分，扣完12分为止。 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紧急情况的应急预案</w:t>
            </w:r>
          </w:p>
        </w:tc>
        <w:tc>
          <w:tcPr>
            <w:tcW w:type="dxa" w:w="3115"/>
          </w:tcPr>
          <w:p>
            <w:pPr>
              <w:pStyle w:val="null5"/>
              <w:jc w:val="left"/>
            </w:pPr>
            <w:r>
              <w:rPr>
                <w:rFonts w:ascii="仿宋_GB2312" w:hAnsi="仿宋_GB2312" w:cs="仿宋_GB2312" w:eastAsia="仿宋_GB2312"/>
              </w:rPr>
              <w:t>根据投标人提供的针对可能出现的紧急情况的应急预案进行评审：方案内容包含但不限于： 1、紧急供货应急预案；2、货物破损、解决方案等应急预案；以上内容满分5分，每有一项内容存在缺陷，扣2.5分，扣完5分为止。 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胚胎移植方案</w:t>
            </w:r>
          </w:p>
        </w:tc>
        <w:tc>
          <w:tcPr>
            <w:tcW w:type="dxa" w:w="3115"/>
          </w:tcPr>
          <w:p>
            <w:pPr>
              <w:pStyle w:val="null5"/>
              <w:jc w:val="left"/>
            </w:pPr>
            <w:r>
              <w:rPr>
                <w:rFonts w:ascii="仿宋_GB2312" w:hAnsi="仿宋_GB2312" w:cs="仿宋_GB2312" w:eastAsia="仿宋_GB2312"/>
              </w:rPr>
              <w:t>根据投标供应商提供的胚胎移植方案进行评审，方案内容包含但不限于：1.移植成功率保障方案；2.流程标准；3.响应时间；4.保障措施；以上内容满分12分，每有一项内容存在缺陷，扣3分，扣完12分为止。 注：缺陷是指：内容与实际情况不符、内容与项目无关、内容表述错误、内容前后 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根据供应商提供的质量保障措施进行评审，方案内容包含但不限于：1.质量保障体系；2.质量保障措施；3.质量控制目标；4.质量控制措施。以上内容满分16分，每有一项内容存在缺陷，扣4分，扣完16分为止。 注：缺陷是指：内容与实际情况不符、内容与项目无关、内容表述错误、内容前 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同类业绩</w:t>
            </w:r>
          </w:p>
        </w:tc>
        <w:tc>
          <w:tcPr>
            <w:tcW w:type="dxa" w:w="3115"/>
          </w:tcPr>
          <w:p>
            <w:pPr>
              <w:pStyle w:val="null5"/>
              <w:jc w:val="left"/>
            </w:pPr>
            <w:r>
              <w:rPr>
                <w:rFonts w:ascii="仿宋_GB2312" w:hAnsi="仿宋_GB2312" w:cs="仿宋_GB2312" w:eastAsia="仿宋_GB2312"/>
              </w:rPr>
              <w:t>投标人自2021年1月1日（以合同签订时间为准）以来，具有同类产品供 货业绩， 每提供一份得2分，本项最多得6分（须提供合同复印件或扫描件, 包含合同首页、合同内容页、签字盖章页）</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根据供应商提供的质量保障措施进行评审，方案内容包含但不限于：1.质 量保障体系；2.质量保障措施；3.质量控制目标；4.质量控制措施。以上内容满分4分，每有一项内容存在缺陷，扣1分，扣完4分为止。 注：缺陷是指：内容与实际情况不符、内容与项目无关、内容表述错误、内容前后表述矛盾、内容与项目不匹配、项目信息错误、缺项漏项、不符合本项目涉及的相关规范或标准要求的任意一种情形。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