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巴林右旗大板镇南山生态引蓄水及其它工程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巴林右旗水利局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内蒙古鑫仟晟项目管理有限公司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CFZCYQS-C-G-250004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内蒙古鑫仟晟项目管理有限公司</w:t>
      </w:r>
      <w:r>
        <w:rPr>
          <w:rFonts w:ascii="仿宋_GB2312" w:hAnsi="仿宋_GB2312" w:cs="仿宋_GB2312" w:eastAsia="仿宋_GB2312"/>
        </w:rPr>
        <w:t xml:space="preserve"> 受 </w:t>
      </w:r>
      <w:r>
        <w:rPr>
          <w:rFonts w:ascii="仿宋_GB2312" w:hAnsi="仿宋_GB2312" w:cs="仿宋_GB2312" w:eastAsia="仿宋_GB2312"/>
        </w:rPr>
        <w:t>巴林右旗水利局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巴林右旗大板镇南山生态引蓄水及其它工程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巴林右旗大板镇南山生态引蓄水及其它工程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CFZCYQS-C-G-250004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赤政采计划[2025]右旗00087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3,084,300.00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巴林右旗大板镇南山生态引蓄水及其它工程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3,084,300.00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1、特定资格要求：：(1)具有建设行政主管部门颁发的水利水电施工总承包三级（含三级）及以上资质，具有有效的安全生产许可证。 (2)投标人拟派项目经理（项目负责人）须是本企业水利水电专业二级及以上建造师，须具备省、部级行政主管部门颁发的B类安全生产考核合格证，同时未在其他在建工程项目中任职，投标人须附未在其他在建工程项目中任职承诺书并加盖本单位公章，如经查实承诺内容虚假，取消其投标资格；一旦中标，取消其中标资格，此不良行为将在内蒙古自治区政府采购网（政府采购云平台）通告并告知建造师注册所在地建设行政主管部门，其公司及拟派驻项目经理三年内不得进入赤峰市公共资源交易中心参与项目交易，同时按照相关规定进行处罚；</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内蒙古鑫仟晟项目管理有限公司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内蒙古自治区赤峰市松山区友谊大街中信大厦A座20楼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涂立成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13654765416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巴林右旗水利局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内蒙古赤峰市巴林右旗大板镇巴林路中段</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025150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胡德士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13847657386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代理服务费收费标准：参照内工建协【2022】34号文件标准计取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巴林右旗水利局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内蒙古鑫仟晟项目管理有限公司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建设规模和内容本工程规模为小(2)型，工程等级V等，水工建筑物级别5级。 主要建设内容: 1.建筑工程 新打水源井1眼，深度70米;新建9㎡砖混结构井房1座:5㎡砖混结构加压泵房1座;新建100m³钢筋混凝土结构蓄水池1座;新建砖砌检修井1座、排气井1座、排水井1座、减压阀井1座;新建地埋管线0.3km，明管布设2.953km;新建花岗岩条石台阶464m;新建山顶观景平台地面硬化花岗岩地砖铺装449.77㎡;新建凉亭3座;电缆套管埋设900m。2.机电设备及安装工程水泵2台，配套控制柜2台;80KVA变压器1台;视频监控系统1套;自动控制系统1套。3.输水管线设备及安装工程  镀锌钢管:DN125PE管长度:dn160GB100级PE管330m;镀锌钢管862m，DN80镀锌钢管2093m;PVC管:dn40PVC电力套管600m，dn32PVC电力套管300m。4.林间工程  PE100级软管2198m;Ф25滴灌管50400m。具体内容详见工程量清单及施工图，以图纸及工程量清单内容为准。具体要求详见附表具体技术(参数)要求。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自合同签订之日起45日历天内完成全部工程内容并经验收合格</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巴林右旗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1、供应商在完成全部建设内容、验收合格后，凭《验收书 》， 支付合同总价款的97%【实际支付时间以财政资金拨付时间为准】，达到付款条件起30日，支付合同总金额的97.00%</w:t>
            </w:r>
          </w:p>
          <w:p>
            <w:pPr>
              <w:pStyle w:val="null5"/>
              <w:jc w:val="left"/>
            </w:pPr>
            <w:r>
              <w:rPr>
                <w:rFonts w:ascii="仿宋_GB2312" w:hAnsi="仿宋_GB2312" w:cs="仿宋_GB2312" w:eastAsia="仿宋_GB2312"/>
              </w:rPr>
              <w:t>2、工程验收合格一年后无质量问题无息付清 ，【实际支付时间以财政资金拨付时间为准】。，达到付款条件起30日，支付合同总金额的3.00%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缴纳说明：履约担保递交方式： ①转账、电汇或网上银行递交 在签订合同前由中标单位的基本账户一次性汇入采购人规定账户，详细汇款账户签订合同前另行给定 ②履约保函：如为履约保函形式递交，须提供由银行出具的无条件、见索即付、不可撤销的履约保函。 履约担保退还：承包人于本合同全部工程验收合格后 10 日内办理相关手续。</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符合国家、行业及地方规范标准，严格按采购要求、设计图纸进行施工，达到国家合格标准</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1、期次1，说明：1、期次1，说明：按合同内容进行验收，质量达到合格标准工程。</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技术方案编制要求：各供应商应根据本工程施工图纸及工程量清单内容编制符合项目实际的技术方案，不得赘述，内容重复编辑，拼凑篇幅；否则赘述、内容重复、拼凑篇幅的相关内容不作为评审的有效资料。</w:t>
              <w:br/>
              <w:t>2、投标有效期：从提交响应文件的截止之日起90日历天。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标的名称：巴林右旗大板镇南山生态引蓄水及其它工程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材料要求：成交供应商应保证所使用的材料是全新、未使用过的合格产品，符合国家行业标准规定成交供应商负责材料的合格性，如发生质量问题由成交供应商承担相应责任。进场前需提供材料的检验证书或合格证书。</w:t>
            </w:r>
          </w:p>
          <w:p>
            <w:pPr>
              <w:pStyle w:val="null5"/>
              <w:jc w:val="both"/>
            </w:pPr>
            <w:r>
              <w:rPr>
                <w:rFonts w:ascii="仿宋_GB2312" w:hAnsi="仿宋_GB2312" w:cs="仿宋_GB2312" w:eastAsia="仿宋_GB2312"/>
                <w:sz w:val="21"/>
              </w:rPr>
              <w:t>施工要求：成交供应商须提供施工所用机械器具清单，并保证所用机械器具符合国家行业标准规定要求。供应商应按照国家、行业及地方规范标准、设计图纸及采购人要求进行施工。竣工验收前，成交供应商负责保护工程成品和工程现场人员的全部安全，同时必须采取有效的措施，保证建筑物主体结构不受到损害，如发生安全责任事故，由成交供应商承担相应责任。</w:t>
            </w:r>
          </w:p>
          <w:p>
            <w:pPr>
              <w:pStyle w:val="null5"/>
              <w:jc w:val="both"/>
            </w:pPr>
            <w:r>
              <w:rPr>
                <w:rFonts w:ascii="仿宋_GB2312" w:hAnsi="仿宋_GB2312" w:cs="仿宋_GB2312" w:eastAsia="仿宋_GB2312"/>
                <w:sz w:val="21"/>
              </w:rPr>
              <w:t>质量要求：符合国家、行业及地方规范标准，严格按采购要求、设计图纸进行施工，达到国家合格标准。</w:t>
            </w:r>
          </w:p>
          <w:p>
            <w:pPr>
              <w:pStyle w:val="null5"/>
              <w:jc w:val="both"/>
            </w:pPr>
            <w:r>
              <w:rPr>
                <w:rFonts w:ascii="仿宋_GB2312" w:hAnsi="仿宋_GB2312" w:cs="仿宋_GB2312" w:eastAsia="仿宋_GB2312"/>
                <w:sz w:val="21"/>
              </w:rPr>
              <w:t>质保要求：按国家相应标准执行。质保期内出现质量问题由成交供应商免费维修、维护。若出现质量问题，应在</w:t>
            </w:r>
            <w:r>
              <w:rPr>
                <w:rFonts w:ascii="仿宋_GB2312" w:hAnsi="仿宋_GB2312" w:cs="仿宋_GB2312" w:eastAsia="仿宋_GB2312"/>
                <w:sz w:val="21"/>
              </w:rPr>
              <w:t>48小时内派人到现场进行处理，质量应达到国家工程质量验收标准。</w:t>
            </w:r>
          </w:p>
          <w:p>
            <w:pPr>
              <w:pStyle w:val="null5"/>
              <w:jc w:val="both"/>
            </w:pPr>
            <w:r>
              <w:rPr>
                <w:rFonts w:ascii="仿宋_GB2312" w:hAnsi="仿宋_GB2312" w:cs="仿宋_GB2312" w:eastAsia="仿宋_GB2312"/>
                <w:sz w:val="21"/>
              </w:rPr>
              <w:t>安全文明施工要求：施工过程中，应制定安全生产措施，并严格执行，如发生质量和安全文明产生的事故、纠纷等均由成交供应商承担责任。</w:t>
            </w:r>
          </w:p>
          <w:p>
            <w:pPr>
              <w:pStyle w:val="null5"/>
              <w:jc w:val="both"/>
            </w:pPr>
            <w:r>
              <w:rPr>
                <w:rFonts w:ascii="仿宋_GB2312" w:hAnsi="仿宋_GB2312" w:cs="仿宋_GB2312" w:eastAsia="仿宋_GB2312"/>
                <w:sz w:val="21"/>
              </w:rPr>
              <w:t>投标报价：投标供应商的最终报价包含所有的材料、设备、人员、运输、装卸、保险、税金及相应的风险、责任等各项费用。投标供应商须提供首轮报价对应的已标价的工程量清单。</w:t>
            </w:r>
          </w:p>
          <w:p>
            <w:pPr>
              <w:pStyle w:val="null5"/>
              <w:jc w:val="both"/>
            </w:pPr>
            <w:r>
              <w:rPr>
                <w:rFonts w:ascii="仿宋_GB2312" w:hAnsi="仿宋_GB2312" w:cs="仿宋_GB2312" w:eastAsia="仿宋_GB2312"/>
                <w:sz w:val="21"/>
              </w:rPr>
              <w:t>完成</w:t>
            </w:r>
            <w:r>
              <w:rPr>
                <w:rFonts w:ascii="仿宋_GB2312" w:hAnsi="仿宋_GB2312" w:cs="仿宋_GB2312" w:eastAsia="仿宋_GB2312"/>
                <w:sz w:val="21"/>
              </w:rPr>
              <w:t>采购人要求及</w:t>
            </w:r>
            <w:r>
              <w:rPr>
                <w:rFonts w:ascii="仿宋_GB2312" w:hAnsi="仿宋_GB2312" w:cs="仿宋_GB2312" w:eastAsia="仿宋_GB2312"/>
                <w:sz w:val="21"/>
              </w:rPr>
              <w:t>工程量清单、施工图纸（详见附件）里包含的全部内容。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审查投标人2022或2023年度经会计师事务所出具的财务审计报告或其基本开户银行出具的近一年内的银行资信证明或具有良好的商业信誉和健全的财务会计制度承诺（格式自拟）。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(1)具有建设行政主管部门颁发的水利水电施工总承包三级（含三级）及以上资质，具有有效的安全生产许可证。 (2)投标人拟派项目经理（项目负责人）须是本企业水利水电专业二级及以上建造师，须具备省、部级行政主管部门颁发的B类安全生产考核合格证，同时未在其他在建工程项目中任职，投标人须附未在其他在建工程项目中任职承诺书并加盖本单位公章，如经查实承诺内容虚假，取消其投标资格；一旦中标，取消其中标资格，此不良行为将在内蒙古自治区政府采购网（政府采购云平台）通告并告知建造师注册所在地建设行政主管部门，其公司及拟派驻项目经理三年内不得进入赤峰市公共资源交易中心参与项目交易，同时按照相关规定进行处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供应商针对本项目提供的施工技术方案进行评审：施工技术方案内容包括但不限于①施工方案编制依据、②施工力量配置计划、③主要施工机具选择、施工机具需求计划、④主要工序和特殊工序的施工方法、⑤材料、消耗材料需求计划、物资管理施工准备、施工方法、工程重点难点分析。对以上内容进行评审。 1.供应商针对每项内容进行了阐述合理且符合项目需求、全面详细，每项得2.0分； 2.每有一项内容虽阐述但内容一般的，未完全贴合实际情况，或内容未包括具体细节及措施，每项得1.0分； 3.每有一项内容虽阐述但内容简单的，每项得0.5分； 4.未提供或提供内容与本项目无关的每项得0分。 本项最多得10.0分，最少得0分。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根据供应商针对本项目提供的质量保证措施进行评审：质量保证措施内容包括但不限于①质量目标、②质量管理体系、③质量保证措施、④质量控制措施。对以上内容进行评审。 1.供应商针对每项内容进行了阐述合理且符合项目需求、全面详细，每项得2.0分； 2.每有一项内容虽阐述但内容一般的，未完全贴合实际情况，或内容未包括具体细节及措施，每项得1.0分； 3.每有一项内容虽阐述但内容简单的，每项0.5分； 4.未提供或提供内容与本项目无关的每项得0分。 本项最多得8.0分，最少得0分。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应急处理措施、预案</w:t>
            </w:r>
          </w:p>
        </w:tc>
        <w:tc>
          <w:tcPr>
            <w:tcW w:type="dxa" w:w="3115"/>
          </w:tcPr>
          <w:p>
            <w:pPr>
              <w:pStyle w:val="null5"/>
              <w:jc w:val="left"/>
            </w:pPr>
            <w:r>
              <w:rPr>
                <w:rFonts w:ascii="仿宋_GB2312" w:hAnsi="仿宋_GB2312" w:cs="仿宋_GB2312" w:eastAsia="仿宋_GB2312"/>
              </w:rPr>
              <w:t>根据应急处理措施、预案进行评审：内容包括但不限于①综合应急预案、②专项应急预案、③现场处置方案、④应急管理机构及人员、⑤抵抗风险能力等方面:1.供应商针对每项内容进行了阐述合理且符合项目需求、全面详细，每项得2.0分； 2.每有一项内容虽阐述但内容一般的，未完全贴合实际情况，或内容未包括具体细节及措施，每项得1.0分； 3.每有一项内容虽阐述但内容简单的，每项0.5分； 4.未提供或提供内容与本项目无关的每项得0分。 本项最多得10.0分，最少得0分。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根据供应商针对本项目提供的施工进度计划进行评审：施工进度计划内容包括但不限于①进度计划目标、②进度控制措施、③进度保证措施、④进度安排保障措施； 1.供应商针对每项内容进行了阐述合理且符合项目需求、全面详细，每项得2.0分； 2.每有一项内容虽阐述但内容一般的，未完全贴合实际情况，或内容未包括具体细节及措施，每项得1.0分； 3.每有一项内容虽阐述但内容简单的，每项得0.5分； 4.未提供或提供内容与本项目无关的每项得0分。 本项最多得8.0分，最少得0分。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w:t>
            </w:r>
          </w:p>
        </w:tc>
        <w:tc>
          <w:tcPr>
            <w:tcW w:type="dxa" w:w="3115"/>
          </w:tcPr>
          <w:p>
            <w:pPr>
              <w:pStyle w:val="null5"/>
              <w:jc w:val="left"/>
            </w:pPr>
            <w:r>
              <w:rPr>
                <w:rFonts w:ascii="仿宋_GB2312" w:hAnsi="仿宋_GB2312" w:cs="仿宋_GB2312" w:eastAsia="仿宋_GB2312"/>
              </w:rPr>
              <w:t>根据供应商提供的安全管理进行评审，内容包括但不限于：①安全目标及分解、②安全管理组织机构、③安全管理主要职责、④安全控制措施、安全风险识别、评估及预防措施；1.供应商针对每项内容进行了阐述合理且符合项目需求、全面详细，每项得2.0分； 2.每有一项内容虽阐述但内容一般的，未完全贴合实际情况，或内容未包括具体细节及措施，每项得1.0分； 3.每有一项内容虽阐述但内容简单的，每项得0.5分； 4.未提供或提供内容与本项目无关的每项得0分。 本项最多得8.0分，最少得0分。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环境保护与文明施工</w:t>
            </w:r>
          </w:p>
        </w:tc>
        <w:tc>
          <w:tcPr>
            <w:tcW w:type="dxa" w:w="3115"/>
          </w:tcPr>
          <w:p>
            <w:pPr>
              <w:pStyle w:val="null5"/>
              <w:jc w:val="left"/>
            </w:pPr>
            <w:r>
              <w:rPr>
                <w:rFonts w:ascii="仿宋_GB2312" w:hAnsi="仿宋_GB2312" w:cs="仿宋_GB2312" w:eastAsia="仿宋_GB2312"/>
              </w:rPr>
              <w:t>根据供应商提供的环境保护与文明施工进行评审，内容包括但不限于：①、施工引起的环保问题及环境保护措施；②、文明施工的目标、文明施工实施方案；1.供应商针对每项内容进行了阐述合理且符合项目需求、全面详细，每项得3.0分； 2.每有一项内容虽阐述但内容一般的，未完全贴合实际情况，或内容未包括具体细节及措施，每项得2.0分； 3.每有一项内容虽阐述但内容简单的，每项得1.0分； 4.未提供或提供内容与本项目无关的每项得0分。 本项最多得6.0分，最少得0分。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供应商2022年1月1日至递交响应文件截止日（以合同签订时间为准）具有类似工程业绩（类似工程业绩指：生态引蓄水建设工程或小流域治理工程或生态清洁小流域工程），每有一项得3分，最高得9分。 注：响应文件中须提供招标公告及中标公告网页截图和合同的扫描件和中标通知书，未提供或提供不满足得0分。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其他人员</w:t>
            </w:r>
          </w:p>
        </w:tc>
        <w:tc>
          <w:tcPr>
            <w:tcW w:type="dxa" w:w="3115"/>
          </w:tcPr>
          <w:p>
            <w:pPr>
              <w:pStyle w:val="null5"/>
              <w:jc w:val="left"/>
            </w:pPr>
            <w:r>
              <w:rPr>
                <w:rFonts w:ascii="仿宋_GB2312" w:hAnsi="仿宋_GB2312" w:cs="仿宋_GB2312" w:eastAsia="仿宋_GB2312"/>
              </w:rPr>
              <w:t>本项目配备专职施工员、材料员、资料员、质检员、安全员，（安全员提供职业资格证书或岗位证书或安全员安全生产考核合格证，其余人员提供职业资格证书或岗位证书，上述人员配备齐全得5分；响应文件中须附上述证书原件扫描件和在水利部“水利建设市场监管平台(http://xypt. mwr.cn/)”及“全国或各省（自治区)水利建设市场主体信用信息平台备案的（附网络截图）”）未提供或提供不满足得0分。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技术负责人</w:t>
            </w:r>
          </w:p>
        </w:tc>
        <w:tc>
          <w:tcPr>
            <w:tcW w:type="dxa" w:w="3115"/>
          </w:tcPr>
          <w:p>
            <w:pPr>
              <w:pStyle w:val="null5"/>
              <w:jc w:val="left"/>
            </w:pPr>
            <w:r>
              <w:rPr>
                <w:rFonts w:ascii="仿宋_GB2312" w:hAnsi="仿宋_GB2312" w:cs="仿宋_GB2312" w:eastAsia="仿宋_GB2312"/>
              </w:rPr>
              <w:t>技术负责人具有水利水电工程相关专业中级及以上职称的得5分，本项最高得5分；响应文件须附职称证原件扫描件。未提供或提供不满足得0分。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不拖欠农牧民工工资承诺函</w:t>
            </w:r>
          </w:p>
        </w:tc>
        <w:tc>
          <w:tcPr>
            <w:tcW w:type="dxa" w:w="3115"/>
          </w:tcPr>
          <w:p>
            <w:pPr>
              <w:pStyle w:val="null5"/>
              <w:jc w:val="left"/>
            </w:pPr>
            <w:r>
              <w:rPr>
                <w:rFonts w:ascii="仿宋_GB2312" w:hAnsi="仿宋_GB2312" w:cs="仿宋_GB2312" w:eastAsia="仿宋_GB2312"/>
              </w:rPr>
              <w:t>供应商出具不拖欠农牧民工工资承诺函的得5分，未提供或提供不满足得0分。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根据供应商的售后方案进行评审，包括①服务内容、应对措施；②服务承诺；③售后服务响应时间、售后服务人员能力；1.供应商针对每项内容进行了阐述合理且符合项目需求、全面详细，每项得2.0分； 2.每有一项内容虽阐述但内容一般的，未完全贴合实际情况，或内容未包括具体细节及措施，每项得1.0分； 3.每有一项内容虽阐述但内容简单的，每项得0.5分； 4.未提供或提供内容与本项目无关的每项得0分。 本项最多得6.0分，最少得0分。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