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0F2B3">
      <w:pPr>
        <w:tabs>
          <w:tab w:val="left" w:pos="3585"/>
        </w:tabs>
        <w:jc w:val="center"/>
        <w:rPr>
          <w:b/>
          <w:sz w:val="36"/>
          <w:szCs w:val="36"/>
        </w:rPr>
      </w:pPr>
      <w:r>
        <w:rPr>
          <w:rFonts w:hint="eastAsia"/>
          <w:b/>
          <w:sz w:val="36"/>
          <w:szCs w:val="36"/>
        </w:rPr>
        <w:t>病理</w:t>
      </w:r>
      <w:r>
        <w:rPr>
          <w:rFonts w:hint="eastAsia"/>
          <w:b/>
          <w:sz w:val="36"/>
          <w:szCs w:val="36"/>
          <w:lang w:val="en-US" w:eastAsia="zh-CN"/>
        </w:rPr>
        <w:t>质控与资料管理系统</w:t>
      </w:r>
      <w:r>
        <w:rPr>
          <w:rFonts w:hint="eastAsia"/>
          <w:b/>
          <w:sz w:val="36"/>
          <w:szCs w:val="36"/>
        </w:rPr>
        <w:t>招标技术要求</w:t>
      </w:r>
    </w:p>
    <w:tbl>
      <w:tblPr>
        <w:tblStyle w:val="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800"/>
        <w:gridCol w:w="6120"/>
      </w:tblGrid>
      <w:tr w14:paraId="1A236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648" w:type="dxa"/>
            <w:vAlign w:val="center"/>
          </w:tcPr>
          <w:p w14:paraId="7F7B7F69">
            <w:pPr>
              <w:jc w:val="center"/>
              <w:rPr>
                <w:b/>
              </w:rPr>
            </w:pPr>
            <w:r>
              <w:rPr>
                <w:rFonts w:hint="eastAsia"/>
                <w:b/>
              </w:rPr>
              <w:t>序号</w:t>
            </w:r>
          </w:p>
        </w:tc>
        <w:tc>
          <w:tcPr>
            <w:tcW w:w="1800" w:type="dxa"/>
            <w:vAlign w:val="center"/>
          </w:tcPr>
          <w:p w14:paraId="3FD3DCCD">
            <w:pPr>
              <w:jc w:val="center"/>
              <w:rPr>
                <w:b/>
              </w:rPr>
            </w:pPr>
            <w:r>
              <w:rPr>
                <w:rFonts w:hint="eastAsia"/>
                <w:b/>
              </w:rPr>
              <w:t>指标项</w:t>
            </w:r>
          </w:p>
        </w:tc>
        <w:tc>
          <w:tcPr>
            <w:tcW w:w="6120" w:type="dxa"/>
            <w:vAlign w:val="center"/>
          </w:tcPr>
          <w:p w14:paraId="3DCA6F7A">
            <w:pPr>
              <w:jc w:val="center"/>
              <w:rPr>
                <w:b/>
              </w:rPr>
            </w:pPr>
            <w:r>
              <w:rPr>
                <w:rFonts w:hint="eastAsia"/>
                <w:b/>
              </w:rPr>
              <w:t>技术要求</w:t>
            </w:r>
          </w:p>
        </w:tc>
      </w:tr>
      <w:tr w14:paraId="5E21C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vAlign w:val="center"/>
          </w:tcPr>
          <w:p w14:paraId="3924BBEB">
            <w:pPr>
              <w:numPr>
                <w:ilvl w:val="0"/>
                <w:numId w:val="1"/>
              </w:numPr>
              <w:jc w:val="center"/>
            </w:pPr>
          </w:p>
        </w:tc>
        <w:tc>
          <w:tcPr>
            <w:tcW w:w="1800" w:type="dxa"/>
            <w:vMerge w:val="restart"/>
            <w:vAlign w:val="center"/>
          </w:tcPr>
          <w:p w14:paraId="514A02AF">
            <w:pPr>
              <w:jc w:val="center"/>
            </w:pPr>
            <w:r>
              <w:rPr>
                <w:rFonts w:hint="eastAsia"/>
              </w:rPr>
              <w:t>登记工作站软件</w:t>
            </w:r>
          </w:p>
          <w:p w14:paraId="1F55C506">
            <w:pPr>
              <w:jc w:val="center"/>
            </w:pPr>
            <w:r>
              <w:rPr>
                <w:rFonts w:hint="eastAsia"/>
              </w:rPr>
              <w:t>1套</w:t>
            </w:r>
          </w:p>
        </w:tc>
        <w:tc>
          <w:tcPr>
            <w:tcW w:w="6120" w:type="dxa"/>
            <w:vAlign w:val="center"/>
          </w:tcPr>
          <w:p w14:paraId="38743BAA">
            <w:r>
              <w:rPr>
                <w:rFonts w:hint="eastAsia"/>
              </w:rPr>
              <w:t>可手工登记送检病例信息，也可从</w:t>
            </w:r>
            <w:r>
              <w:t>HIS</w:t>
            </w:r>
            <w:r>
              <w:rPr>
                <w:rFonts w:hint="eastAsia"/>
              </w:rPr>
              <w:t>系统中提取病人基本信息或电子申请单信息。</w:t>
            </w:r>
          </w:p>
        </w:tc>
      </w:tr>
      <w:tr w14:paraId="49182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504FF7F6">
            <w:pPr>
              <w:numPr>
                <w:ilvl w:val="0"/>
                <w:numId w:val="1"/>
              </w:numPr>
              <w:jc w:val="center"/>
            </w:pPr>
          </w:p>
        </w:tc>
        <w:tc>
          <w:tcPr>
            <w:tcW w:w="1800" w:type="dxa"/>
            <w:vMerge w:val="continue"/>
            <w:vAlign w:val="center"/>
          </w:tcPr>
          <w:p w14:paraId="26E86EE9">
            <w:pPr>
              <w:jc w:val="center"/>
            </w:pPr>
          </w:p>
        </w:tc>
        <w:tc>
          <w:tcPr>
            <w:tcW w:w="6120" w:type="dxa"/>
            <w:vAlign w:val="center"/>
          </w:tcPr>
          <w:p w14:paraId="3DF3B29E">
            <w:r>
              <w:rPr>
                <w:rFonts w:hint="eastAsia"/>
              </w:rPr>
              <w:t>可按病例库进行登记，病例库可以自定义；可以指定默认的病例库。</w:t>
            </w:r>
          </w:p>
        </w:tc>
      </w:tr>
      <w:tr w14:paraId="3F493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3E8215B7">
            <w:pPr>
              <w:numPr>
                <w:ilvl w:val="0"/>
                <w:numId w:val="1"/>
              </w:numPr>
              <w:jc w:val="center"/>
            </w:pPr>
          </w:p>
        </w:tc>
        <w:tc>
          <w:tcPr>
            <w:tcW w:w="1800" w:type="dxa"/>
            <w:vMerge w:val="continue"/>
            <w:vAlign w:val="center"/>
          </w:tcPr>
          <w:p w14:paraId="1F87DABC">
            <w:pPr>
              <w:jc w:val="center"/>
            </w:pPr>
          </w:p>
        </w:tc>
        <w:tc>
          <w:tcPr>
            <w:tcW w:w="6120" w:type="dxa"/>
            <w:vAlign w:val="center"/>
          </w:tcPr>
          <w:p w14:paraId="39DF1C30">
            <w:r>
              <w:rPr>
                <w:rFonts w:hint="eastAsia"/>
              </w:rPr>
              <w:t>病理号按照当前病例库的编号规则自动升位，也可直接提取最大号作为病理号，还可手工调整。登记时出现病理号重号有自动提示。</w:t>
            </w:r>
          </w:p>
        </w:tc>
      </w:tr>
      <w:tr w14:paraId="6C0A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770E2E22">
            <w:pPr>
              <w:numPr>
                <w:ilvl w:val="0"/>
                <w:numId w:val="1"/>
              </w:numPr>
              <w:jc w:val="center"/>
            </w:pPr>
          </w:p>
        </w:tc>
        <w:tc>
          <w:tcPr>
            <w:tcW w:w="1800" w:type="dxa"/>
            <w:vMerge w:val="continue"/>
            <w:vAlign w:val="center"/>
          </w:tcPr>
          <w:p w14:paraId="760CD0A6">
            <w:pPr>
              <w:jc w:val="center"/>
            </w:pPr>
          </w:p>
        </w:tc>
        <w:tc>
          <w:tcPr>
            <w:tcW w:w="6120" w:type="dxa"/>
            <w:vAlign w:val="center"/>
          </w:tcPr>
          <w:p w14:paraId="64AD6BB6">
            <w:r>
              <w:rPr>
                <w:rFonts w:hint="eastAsia"/>
              </w:rPr>
              <w:t>记录不合格标本拒收原因，并提供不合格情况统计。</w:t>
            </w:r>
          </w:p>
        </w:tc>
      </w:tr>
      <w:tr w14:paraId="34858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577843D0">
            <w:pPr>
              <w:numPr>
                <w:ilvl w:val="0"/>
                <w:numId w:val="1"/>
              </w:numPr>
              <w:jc w:val="center"/>
            </w:pPr>
          </w:p>
        </w:tc>
        <w:tc>
          <w:tcPr>
            <w:tcW w:w="1800" w:type="dxa"/>
            <w:vMerge w:val="continue"/>
            <w:vAlign w:val="center"/>
          </w:tcPr>
          <w:p w14:paraId="3BCE5B34">
            <w:pPr>
              <w:jc w:val="center"/>
            </w:pPr>
          </w:p>
        </w:tc>
        <w:tc>
          <w:tcPr>
            <w:tcW w:w="6120" w:type="dxa"/>
            <w:vAlign w:val="center"/>
          </w:tcPr>
          <w:p w14:paraId="768DAF28">
            <w:r>
              <w:rPr>
                <w:rFonts w:hint="eastAsia"/>
              </w:rPr>
              <w:t>打印门诊病人回执，约定取报告的时间和地点。</w:t>
            </w:r>
          </w:p>
        </w:tc>
      </w:tr>
      <w:tr w14:paraId="7A45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vAlign w:val="center"/>
          </w:tcPr>
          <w:p w14:paraId="01857E72">
            <w:pPr>
              <w:numPr>
                <w:ilvl w:val="0"/>
                <w:numId w:val="1"/>
              </w:numPr>
              <w:jc w:val="center"/>
            </w:pPr>
          </w:p>
        </w:tc>
        <w:tc>
          <w:tcPr>
            <w:tcW w:w="1800" w:type="dxa"/>
            <w:vMerge w:val="restart"/>
            <w:vAlign w:val="center"/>
          </w:tcPr>
          <w:p w14:paraId="795099C0">
            <w:pPr>
              <w:jc w:val="center"/>
            </w:pPr>
            <w:r>
              <w:rPr>
                <w:rFonts w:hint="eastAsia"/>
              </w:rPr>
              <w:t>取材工作站软件</w:t>
            </w:r>
          </w:p>
          <w:p w14:paraId="24275FC0">
            <w:pPr>
              <w:jc w:val="center"/>
            </w:pPr>
            <w:r>
              <w:rPr>
                <w:rFonts w:hint="eastAsia"/>
              </w:rPr>
              <w:t>1套</w:t>
            </w:r>
          </w:p>
        </w:tc>
        <w:tc>
          <w:tcPr>
            <w:tcW w:w="6120" w:type="dxa"/>
            <w:vAlign w:val="center"/>
          </w:tcPr>
          <w:p w14:paraId="159117A7">
            <w:pPr>
              <w:rPr>
                <w:highlight w:val="yellow"/>
              </w:rPr>
            </w:pPr>
            <w:r>
              <w:rPr>
                <w:rFonts w:hint="eastAsia"/>
              </w:rPr>
              <w:t>系统自动提示所有已登记但尚未取材的病例列表，或是有补取要求的病例列表。补取列表中的病例界面需显示开单医生及补取医嘱说明。</w:t>
            </w:r>
          </w:p>
        </w:tc>
      </w:tr>
      <w:tr w14:paraId="421E9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2CA1EF7C">
            <w:pPr>
              <w:numPr>
                <w:ilvl w:val="0"/>
                <w:numId w:val="1"/>
              </w:numPr>
              <w:jc w:val="center"/>
            </w:pPr>
          </w:p>
        </w:tc>
        <w:tc>
          <w:tcPr>
            <w:tcW w:w="1800" w:type="dxa"/>
            <w:vMerge w:val="continue"/>
            <w:vAlign w:val="center"/>
          </w:tcPr>
          <w:p w14:paraId="5B6D4063">
            <w:pPr>
              <w:jc w:val="center"/>
            </w:pPr>
          </w:p>
        </w:tc>
        <w:tc>
          <w:tcPr>
            <w:tcW w:w="6120" w:type="dxa"/>
            <w:vAlign w:val="center"/>
          </w:tcPr>
          <w:p w14:paraId="094BF5BA">
            <w:r>
              <w:rPr>
                <w:rFonts w:hint="eastAsia"/>
              </w:rPr>
              <w:t>系统自动进行“同名检索”，遇到同名病人能自动提示“其他检查”，并能进一步进行住院号或病人编号的匹配，以准确锁定该病人的历史检查。</w:t>
            </w:r>
          </w:p>
        </w:tc>
      </w:tr>
      <w:tr w14:paraId="6056E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2AEB98FB">
            <w:pPr>
              <w:numPr>
                <w:ilvl w:val="0"/>
                <w:numId w:val="1"/>
              </w:numPr>
              <w:jc w:val="center"/>
            </w:pPr>
          </w:p>
        </w:tc>
        <w:tc>
          <w:tcPr>
            <w:tcW w:w="1800" w:type="dxa"/>
            <w:vMerge w:val="continue"/>
            <w:vAlign w:val="center"/>
          </w:tcPr>
          <w:p w14:paraId="2B589AA5">
            <w:pPr>
              <w:jc w:val="center"/>
            </w:pPr>
          </w:p>
        </w:tc>
        <w:tc>
          <w:tcPr>
            <w:tcW w:w="6120" w:type="dxa"/>
            <w:vAlign w:val="center"/>
          </w:tcPr>
          <w:p w14:paraId="01316E08">
            <w:r>
              <w:rPr>
                <w:rFonts w:hint="eastAsia"/>
              </w:rPr>
              <w:t>取材时系统自动提示该病例是否做过冰冻，并能查看冰冻结果，根据冰冻结果确定取材要求。</w:t>
            </w:r>
          </w:p>
        </w:tc>
      </w:tr>
      <w:tr w14:paraId="4DD8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00821F92">
            <w:pPr>
              <w:numPr>
                <w:ilvl w:val="0"/>
                <w:numId w:val="1"/>
              </w:numPr>
              <w:jc w:val="center"/>
            </w:pPr>
          </w:p>
        </w:tc>
        <w:tc>
          <w:tcPr>
            <w:tcW w:w="1800" w:type="dxa"/>
            <w:vMerge w:val="continue"/>
            <w:vAlign w:val="center"/>
          </w:tcPr>
          <w:p w14:paraId="1B01D3B2">
            <w:pPr>
              <w:jc w:val="center"/>
            </w:pPr>
          </w:p>
        </w:tc>
        <w:tc>
          <w:tcPr>
            <w:tcW w:w="6120" w:type="dxa"/>
            <w:vAlign w:val="center"/>
          </w:tcPr>
          <w:p w14:paraId="30231B39">
            <w:r>
              <w:rPr>
                <w:rFonts w:hint="eastAsia"/>
              </w:rPr>
              <w:t>进行取材明细记录，系统自动计算待包埋数和材块总数。进行“附言”记录，包括“用完”“脱钙”“保留”等内容。可记录剩余标本的存放位置。</w:t>
            </w:r>
          </w:p>
        </w:tc>
      </w:tr>
      <w:tr w14:paraId="21282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78E6D2FC">
            <w:pPr>
              <w:numPr>
                <w:ilvl w:val="0"/>
                <w:numId w:val="1"/>
              </w:numPr>
              <w:jc w:val="center"/>
            </w:pPr>
          </w:p>
        </w:tc>
        <w:tc>
          <w:tcPr>
            <w:tcW w:w="1800" w:type="dxa"/>
            <w:vMerge w:val="continue"/>
            <w:vAlign w:val="center"/>
          </w:tcPr>
          <w:p w14:paraId="4A38F3E6">
            <w:pPr>
              <w:jc w:val="center"/>
            </w:pPr>
          </w:p>
        </w:tc>
        <w:tc>
          <w:tcPr>
            <w:tcW w:w="6120" w:type="dxa"/>
            <w:vAlign w:val="center"/>
          </w:tcPr>
          <w:p w14:paraId="05F19D31">
            <w:pPr>
              <w:rPr>
                <w:rFonts w:hint="eastAsia" w:ascii="宋体" w:hAnsi="宋体"/>
                <w:bCs/>
                <w:szCs w:val="21"/>
              </w:rPr>
            </w:pPr>
            <w:r>
              <w:rPr>
                <w:rFonts w:hint="eastAsia" w:ascii="宋体" w:hAnsi="宋体"/>
                <w:bCs/>
                <w:szCs w:val="21"/>
              </w:rPr>
              <w:t>取材明细列表适应不同的取材序号队列。</w:t>
            </w:r>
          </w:p>
        </w:tc>
      </w:tr>
      <w:tr w14:paraId="1D26F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1BFD3E2E">
            <w:pPr>
              <w:numPr>
                <w:ilvl w:val="0"/>
                <w:numId w:val="1"/>
              </w:numPr>
              <w:jc w:val="center"/>
            </w:pPr>
          </w:p>
        </w:tc>
        <w:tc>
          <w:tcPr>
            <w:tcW w:w="1800" w:type="dxa"/>
            <w:vMerge w:val="continue"/>
            <w:vAlign w:val="center"/>
          </w:tcPr>
          <w:p w14:paraId="5D472A8C">
            <w:pPr>
              <w:jc w:val="center"/>
            </w:pPr>
          </w:p>
        </w:tc>
        <w:tc>
          <w:tcPr>
            <w:tcW w:w="6120" w:type="dxa"/>
            <w:vAlign w:val="center"/>
          </w:tcPr>
          <w:p w14:paraId="0E3833C6">
            <w:pPr>
              <w:rPr>
                <w:rFonts w:hint="eastAsia" w:ascii="宋体" w:hAnsi="宋体"/>
                <w:bCs/>
                <w:szCs w:val="21"/>
              </w:rPr>
            </w:pPr>
            <w:r>
              <w:rPr>
                <w:rFonts w:ascii="宋体" w:hAnsi="宋体"/>
                <w:szCs w:val="21"/>
              </w:rPr>
              <w:t>取材明细的材块数具有单位</w:t>
            </w:r>
            <w:r>
              <w:rPr>
                <w:rFonts w:hint="eastAsia" w:ascii="宋体" w:hAnsi="宋体"/>
                <w:szCs w:val="21"/>
              </w:rPr>
              <w:t>（</w:t>
            </w:r>
            <w:r>
              <w:rPr>
                <w:rFonts w:ascii="宋体" w:hAnsi="宋体"/>
                <w:szCs w:val="21"/>
              </w:rPr>
              <w:t>块</w:t>
            </w:r>
            <w:r>
              <w:rPr>
                <w:rFonts w:hint="eastAsia" w:ascii="宋体" w:hAnsi="宋体"/>
                <w:szCs w:val="21"/>
              </w:rPr>
              <w:t>、</w:t>
            </w:r>
            <w:r>
              <w:rPr>
                <w:rFonts w:ascii="宋体" w:hAnsi="宋体"/>
                <w:szCs w:val="21"/>
              </w:rPr>
              <w:t>条</w:t>
            </w:r>
            <w:r>
              <w:rPr>
                <w:rFonts w:hint="eastAsia" w:ascii="宋体" w:hAnsi="宋体"/>
                <w:szCs w:val="21"/>
              </w:rPr>
              <w:t>、</w:t>
            </w:r>
            <w:r>
              <w:rPr>
                <w:rFonts w:ascii="宋体" w:hAnsi="宋体"/>
                <w:szCs w:val="21"/>
              </w:rPr>
              <w:t>堆等</w:t>
            </w:r>
            <w:r>
              <w:rPr>
                <w:rFonts w:hint="eastAsia" w:ascii="宋体" w:hAnsi="宋体"/>
                <w:szCs w:val="21"/>
              </w:rPr>
              <w:t>），</w:t>
            </w:r>
            <w:r>
              <w:rPr>
                <w:rFonts w:ascii="宋体" w:hAnsi="宋体"/>
                <w:szCs w:val="21"/>
              </w:rPr>
              <w:t>统计时只统计前面的数字</w:t>
            </w:r>
            <w:r>
              <w:rPr>
                <w:rFonts w:hint="eastAsia" w:ascii="宋体" w:hAnsi="宋体"/>
                <w:szCs w:val="21"/>
              </w:rPr>
              <w:t>。</w:t>
            </w:r>
          </w:p>
        </w:tc>
      </w:tr>
      <w:tr w14:paraId="539BD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79E603FE">
            <w:pPr>
              <w:numPr>
                <w:ilvl w:val="0"/>
                <w:numId w:val="1"/>
              </w:numPr>
              <w:jc w:val="center"/>
            </w:pPr>
          </w:p>
        </w:tc>
        <w:tc>
          <w:tcPr>
            <w:tcW w:w="1800" w:type="dxa"/>
            <w:vMerge w:val="continue"/>
            <w:vAlign w:val="center"/>
          </w:tcPr>
          <w:p w14:paraId="083413C6">
            <w:pPr>
              <w:jc w:val="center"/>
            </w:pPr>
          </w:p>
        </w:tc>
        <w:tc>
          <w:tcPr>
            <w:tcW w:w="6120" w:type="dxa"/>
            <w:vAlign w:val="center"/>
          </w:tcPr>
          <w:p w14:paraId="50E74701">
            <w:pPr>
              <w:rPr>
                <w:rFonts w:hint="eastAsia" w:ascii="宋体" w:hAnsi="宋体"/>
                <w:szCs w:val="21"/>
              </w:rPr>
            </w:pPr>
            <w:r>
              <w:rPr>
                <w:rFonts w:hint="eastAsia" w:ascii="宋体" w:hAnsi="宋体"/>
                <w:szCs w:val="21"/>
              </w:rPr>
              <w:t>取材记录员和取材明细关联，以区分常规取材和补取会由不同的人进行记录。</w:t>
            </w:r>
          </w:p>
        </w:tc>
      </w:tr>
      <w:tr w14:paraId="210E9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1C30EBA8">
            <w:pPr>
              <w:numPr>
                <w:ilvl w:val="0"/>
                <w:numId w:val="1"/>
              </w:numPr>
              <w:jc w:val="center"/>
            </w:pPr>
          </w:p>
        </w:tc>
        <w:tc>
          <w:tcPr>
            <w:tcW w:w="1800" w:type="dxa"/>
            <w:vMerge w:val="continue"/>
            <w:vAlign w:val="center"/>
          </w:tcPr>
          <w:p w14:paraId="1BCD5D42">
            <w:pPr>
              <w:jc w:val="center"/>
            </w:pPr>
          </w:p>
        </w:tc>
        <w:tc>
          <w:tcPr>
            <w:tcW w:w="6120" w:type="dxa"/>
            <w:vAlign w:val="center"/>
          </w:tcPr>
          <w:p w14:paraId="307F5C8F">
            <w:pPr>
              <w:rPr>
                <w:szCs w:val="21"/>
              </w:rPr>
            </w:pPr>
            <w:r>
              <w:rPr>
                <w:rFonts w:hint="eastAsia" w:ascii="宋体" w:hAnsi="宋体"/>
                <w:szCs w:val="21"/>
              </w:rPr>
              <w:t>针对小标本取材描述提供专用模板。</w:t>
            </w:r>
            <w:r>
              <w:rPr>
                <w:rFonts w:hint="eastAsia"/>
                <w:szCs w:val="21"/>
              </w:rPr>
              <w:t xml:space="preserve"> </w:t>
            </w:r>
          </w:p>
        </w:tc>
      </w:tr>
      <w:tr w14:paraId="1C2FD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484B69A3">
            <w:pPr>
              <w:numPr>
                <w:ilvl w:val="0"/>
                <w:numId w:val="1"/>
              </w:numPr>
              <w:jc w:val="center"/>
            </w:pPr>
          </w:p>
        </w:tc>
        <w:tc>
          <w:tcPr>
            <w:tcW w:w="1800" w:type="dxa"/>
            <w:vMerge w:val="continue"/>
            <w:vAlign w:val="center"/>
          </w:tcPr>
          <w:p w14:paraId="10207353">
            <w:pPr>
              <w:jc w:val="center"/>
            </w:pPr>
          </w:p>
        </w:tc>
        <w:tc>
          <w:tcPr>
            <w:tcW w:w="6120" w:type="dxa"/>
            <w:vAlign w:val="center"/>
          </w:tcPr>
          <w:p w14:paraId="47F4FA37">
            <w:pPr>
              <w:rPr>
                <w:rFonts w:hint="eastAsia" w:ascii="宋体" w:hAnsi="宋体"/>
                <w:szCs w:val="21"/>
              </w:rPr>
            </w:pPr>
            <w:r>
              <w:rPr>
                <w:rFonts w:hint="eastAsia" w:ascii="宋体" w:hAnsi="宋体"/>
                <w:szCs w:val="21"/>
              </w:rPr>
              <w:t>提供按照不同器官系统、不同标本切除方式分类的取材大体描述模板，用户可方便地在取材记录界面上直接进行模板内容的增加、修改和删除。</w:t>
            </w:r>
          </w:p>
        </w:tc>
      </w:tr>
      <w:tr w14:paraId="04EBC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72AEAB8A">
            <w:pPr>
              <w:numPr>
                <w:ilvl w:val="0"/>
                <w:numId w:val="1"/>
              </w:numPr>
              <w:jc w:val="center"/>
            </w:pPr>
          </w:p>
        </w:tc>
        <w:tc>
          <w:tcPr>
            <w:tcW w:w="1800" w:type="dxa"/>
            <w:vMerge w:val="continue"/>
            <w:vAlign w:val="center"/>
          </w:tcPr>
          <w:p w14:paraId="31F7C2EC">
            <w:pPr>
              <w:jc w:val="center"/>
            </w:pPr>
          </w:p>
        </w:tc>
        <w:tc>
          <w:tcPr>
            <w:tcW w:w="6120" w:type="dxa"/>
            <w:vAlign w:val="center"/>
          </w:tcPr>
          <w:p w14:paraId="08FD9FE5">
            <w:r>
              <w:rPr>
                <w:rFonts w:hint="eastAsia"/>
              </w:rPr>
              <w:t>在录入大体描述时，可以提取标本名称。</w:t>
            </w:r>
          </w:p>
        </w:tc>
      </w:tr>
      <w:tr w14:paraId="4545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63E1E218">
            <w:pPr>
              <w:numPr>
                <w:ilvl w:val="0"/>
                <w:numId w:val="1"/>
              </w:numPr>
              <w:jc w:val="center"/>
            </w:pPr>
          </w:p>
        </w:tc>
        <w:tc>
          <w:tcPr>
            <w:tcW w:w="1800" w:type="dxa"/>
            <w:vMerge w:val="continue"/>
            <w:vAlign w:val="center"/>
          </w:tcPr>
          <w:p w14:paraId="6BAB9B9E">
            <w:pPr>
              <w:jc w:val="center"/>
            </w:pPr>
          </w:p>
        </w:tc>
        <w:tc>
          <w:tcPr>
            <w:tcW w:w="6120" w:type="dxa"/>
            <w:vAlign w:val="center"/>
          </w:tcPr>
          <w:p w14:paraId="317DE1A1">
            <w:pPr>
              <w:rPr>
                <w:kern w:val="0"/>
                <w:szCs w:val="21"/>
              </w:rPr>
            </w:pPr>
            <w:bookmarkStart w:id="0" w:name="_GoBack"/>
            <w:bookmarkEnd w:id="0"/>
            <w:r>
              <w:rPr>
                <w:rFonts w:hint="eastAsia"/>
                <w:kern w:val="0"/>
                <w:szCs w:val="21"/>
              </w:rPr>
              <w:t>在录入取材组织名称时，其常用词会根据取材常用词树的第一级部位同步更新。</w:t>
            </w:r>
          </w:p>
        </w:tc>
      </w:tr>
      <w:tr w14:paraId="35FE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1B218B06">
            <w:pPr>
              <w:numPr>
                <w:ilvl w:val="0"/>
                <w:numId w:val="1"/>
              </w:numPr>
              <w:jc w:val="center"/>
            </w:pPr>
          </w:p>
        </w:tc>
        <w:tc>
          <w:tcPr>
            <w:tcW w:w="1800" w:type="dxa"/>
            <w:vMerge w:val="continue"/>
            <w:vAlign w:val="center"/>
          </w:tcPr>
          <w:p w14:paraId="70DF1B80">
            <w:pPr>
              <w:jc w:val="center"/>
            </w:pPr>
          </w:p>
        </w:tc>
        <w:tc>
          <w:tcPr>
            <w:tcW w:w="6120" w:type="dxa"/>
            <w:vAlign w:val="center"/>
          </w:tcPr>
          <w:p w14:paraId="3A2EF1CA">
            <w:r>
              <w:rPr>
                <w:rFonts w:hint="eastAsia"/>
              </w:rPr>
              <w:t>进行大体标本照相，通过与取材工作站相连的专业大体标本拍摄台，图像与病例直接关联保存。</w:t>
            </w:r>
          </w:p>
        </w:tc>
      </w:tr>
      <w:tr w14:paraId="6A017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0597DE97">
            <w:pPr>
              <w:numPr>
                <w:ilvl w:val="0"/>
                <w:numId w:val="1"/>
              </w:numPr>
              <w:jc w:val="center"/>
            </w:pPr>
          </w:p>
        </w:tc>
        <w:tc>
          <w:tcPr>
            <w:tcW w:w="1800" w:type="dxa"/>
            <w:vMerge w:val="continue"/>
            <w:vAlign w:val="center"/>
          </w:tcPr>
          <w:p w14:paraId="2E42FFE1">
            <w:pPr>
              <w:jc w:val="center"/>
            </w:pPr>
          </w:p>
        </w:tc>
        <w:tc>
          <w:tcPr>
            <w:tcW w:w="6120" w:type="dxa"/>
            <w:vAlign w:val="center"/>
          </w:tcPr>
          <w:p w14:paraId="5B5F16FB">
            <w:r>
              <w:rPr>
                <w:rFonts w:hint="eastAsia"/>
              </w:rPr>
              <w:t>可以进行材块核对，记录核对人，核对时间。</w:t>
            </w:r>
          </w:p>
        </w:tc>
      </w:tr>
      <w:tr w14:paraId="79EB1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552CB644">
            <w:pPr>
              <w:numPr>
                <w:ilvl w:val="0"/>
                <w:numId w:val="1"/>
              </w:numPr>
              <w:jc w:val="center"/>
            </w:pPr>
          </w:p>
        </w:tc>
        <w:tc>
          <w:tcPr>
            <w:tcW w:w="1800" w:type="dxa"/>
            <w:vMerge w:val="continue"/>
            <w:vAlign w:val="center"/>
          </w:tcPr>
          <w:p w14:paraId="2F592266">
            <w:pPr>
              <w:jc w:val="center"/>
            </w:pPr>
          </w:p>
        </w:tc>
        <w:tc>
          <w:tcPr>
            <w:tcW w:w="6120" w:type="dxa"/>
            <w:vAlign w:val="center"/>
          </w:tcPr>
          <w:p w14:paraId="098978C7">
            <w:r>
              <w:rPr>
                <w:rFonts w:hint="eastAsia"/>
              </w:rPr>
              <w:t>提供取材工作交接管理工具</w:t>
            </w:r>
            <w:r>
              <w:rPr>
                <w:rFonts w:hint="eastAsia" w:ascii="宋体" w:hAnsi="宋体"/>
                <w:bCs/>
                <w:szCs w:val="21"/>
              </w:rPr>
              <w:t>，区分当日取材和非当日取材，可按照取材医生分别整理</w:t>
            </w:r>
            <w:r>
              <w:rPr>
                <w:rFonts w:hint="eastAsia"/>
              </w:rPr>
              <w:t>。</w:t>
            </w:r>
          </w:p>
        </w:tc>
      </w:tr>
      <w:tr w14:paraId="58CC2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vAlign w:val="center"/>
          </w:tcPr>
          <w:p w14:paraId="2FBB017A">
            <w:pPr>
              <w:numPr>
                <w:ilvl w:val="0"/>
                <w:numId w:val="1"/>
              </w:numPr>
              <w:jc w:val="center"/>
            </w:pPr>
          </w:p>
        </w:tc>
        <w:tc>
          <w:tcPr>
            <w:tcW w:w="1800" w:type="dxa"/>
            <w:vMerge w:val="restart"/>
            <w:vAlign w:val="center"/>
          </w:tcPr>
          <w:p w14:paraId="343474F8">
            <w:pPr>
              <w:jc w:val="center"/>
            </w:pPr>
            <w:r>
              <w:rPr>
                <w:rFonts w:hint="eastAsia"/>
              </w:rPr>
              <w:t>包埋盒打号机接口模块</w:t>
            </w:r>
          </w:p>
          <w:p w14:paraId="5B782B27">
            <w:pPr>
              <w:jc w:val="center"/>
            </w:pPr>
            <w:r>
              <w:rPr>
                <w:rFonts w:hint="eastAsia"/>
              </w:rPr>
              <w:t>1套</w:t>
            </w:r>
          </w:p>
        </w:tc>
        <w:tc>
          <w:tcPr>
            <w:tcW w:w="6120" w:type="dxa"/>
            <w:vAlign w:val="center"/>
          </w:tcPr>
          <w:p w14:paraId="2C1C67F0">
            <w:r>
              <w:rPr>
                <w:rFonts w:hint="eastAsia"/>
              </w:rPr>
              <w:t>通过定制接口将包埋盒打号机连入网络，以网络传输的方式取代手工录入，可将取材工作站软件中记录的取材明细直接传给包埋盒打号机打印。</w:t>
            </w:r>
          </w:p>
        </w:tc>
      </w:tr>
      <w:tr w14:paraId="1AA86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2A8733FD">
            <w:pPr>
              <w:numPr>
                <w:ilvl w:val="0"/>
                <w:numId w:val="1"/>
              </w:numPr>
              <w:jc w:val="center"/>
            </w:pPr>
          </w:p>
        </w:tc>
        <w:tc>
          <w:tcPr>
            <w:tcW w:w="1800" w:type="dxa"/>
            <w:vMerge w:val="continue"/>
            <w:vAlign w:val="center"/>
          </w:tcPr>
          <w:p w14:paraId="1FE23EB0">
            <w:pPr>
              <w:jc w:val="center"/>
            </w:pPr>
          </w:p>
        </w:tc>
        <w:tc>
          <w:tcPr>
            <w:tcW w:w="6120" w:type="dxa"/>
            <w:vAlign w:val="center"/>
          </w:tcPr>
          <w:p w14:paraId="458BAE3E">
            <w:r>
              <w:rPr>
                <w:rFonts w:hint="eastAsia"/>
              </w:rPr>
              <w:t>支持“立”“皮”“试”等中文特殊标记的打印。</w:t>
            </w:r>
          </w:p>
        </w:tc>
      </w:tr>
      <w:tr w14:paraId="135B7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494040B4">
            <w:pPr>
              <w:numPr>
                <w:ilvl w:val="0"/>
                <w:numId w:val="1"/>
              </w:numPr>
              <w:jc w:val="center"/>
            </w:pPr>
          </w:p>
        </w:tc>
        <w:tc>
          <w:tcPr>
            <w:tcW w:w="1800" w:type="dxa"/>
            <w:vMerge w:val="continue"/>
            <w:vAlign w:val="center"/>
          </w:tcPr>
          <w:p w14:paraId="40FF230A">
            <w:pPr>
              <w:jc w:val="center"/>
            </w:pPr>
          </w:p>
        </w:tc>
        <w:tc>
          <w:tcPr>
            <w:tcW w:w="6120" w:type="dxa"/>
            <w:vAlign w:val="center"/>
          </w:tcPr>
          <w:p w14:paraId="16F014D2">
            <w:r>
              <w:rPr>
                <w:rFonts w:hint="eastAsia"/>
              </w:rPr>
              <w:t>支持取材医师等信息的打印。</w:t>
            </w:r>
          </w:p>
        </w:tc>
      </w:tr>
      <w:tr w14:paraId="381D3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37B5CE89">
            <w:pPr>
              <w:numPr>
                <w:ilvl w:val="0"/>
                <w:numId w:val="1"/>
              </w:numPr>
              <w:jc w:val="center"/>
            </w:pPr>
          </w:p>
        </w:tc>
        <w:tc>
          <w:tcPr>
            <w:tcW w:w="1800" w:type="dxa"/>
            <w:vMerge w:val="continue"/>
            <w:vAlign w:val="center"/>
          </w:tcPr>
          <w:p w14:paraId="54C141B9">
            <w:pPr>
              <w:jc w:val="center"/>
            </w:pPr>
          </w:p>
        </w:tc>
        <w:tc>
          <w:tcPr>
            <w:tcW w:w="6120" w:type="dxa"/>
            <w:vAlign w:val="center"/>
          </w:tcPr>
          <w:p w14:paraId="15033BE3">
            <w:r>
              <w:rPr>
                <w:rFonts w:hint="eastAsia"/>
              </w:rPr>
              <w:t>可根据标本类型，自动选择包埋盒打号机的打号通道，以用于对不同标本类型的标本进行不同包埋盒颜色的区分。（需包埋盒打号机支持相应功能）</w:t>
            </w:r>
          </w:p>
        </w:tc>
      </w:tr>
      <w:tr w14:paraId="0BDD8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54377D05">
            <w:pPr>
              <w:numPr>
                <w:ilvl w:val="0"/>
                <w:numId w:val="1"/>
              </w:numPr>
              <w:jc w:val="center"/>
            </w:pPr>
          </w:p>
        </w:tc>
        <w:tc>
          <w:tcPr>
            <w:tcW w:w="1800" w:type="dxa"/>
            <w:vMerge w:val="continue"/>
            <w:vAlign w:val="center"/>
          </w:tcPr>
          <w:p w14:paraId="6FC40BDE">
            <w:pPr>
              <w:jc w:val="center"/>
            </w:pPr>
          </w:p>
        </w:tc>
        <w:tc>
          <w:tcPr>
            <w:tcW w:w="6120" w:type="dxa"/>
            <w:vAlign w:val="center"/>
          </w:tcPr>
          <w:p w14:paraId="4F0848CC">
            <w:r>
              <w:rPr>
                <w:rFonts w:hint="eastAsia"/>
              </w:rPr>
              <w:t>支持二维码打印。（需包埋盒打号机支持相应功能）</w:t>
            </w:r>
          </w:p>
        </w:tc>
      </w:tr>
      <w:tr w14:paraId="16C49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vAlign w:val="center"/>
          </w:tcPr>
          <w:p w14:paraId="4D39F1B1">
            <w:pPr>
              <w:numPr>
                <w:ilvl w:val="0"/>
                <w:numId w:val="1"/>
              </w:numPr>
              <w:jc w:val="center"/>
            </w:pPr>
          </w:p>
        </w:tc>
        <w:tc>
          <w:tcPr>
            <w:tcW w:w="1800" w:type="dxa"/>
            <w:vMerge w:val="restart"/>
            <w:vAlign w:val="center"/>
          </w:tcPr>
          <w:p w14:paraId="42F9F622">
            <w:pPr>
              <w:jc w:val="center"/>
            </w:pPr>
            <w:r>
              <w:rPr>
                <w:rFonts w:hint="eastAsia"/>
              </w:rPr>
              <w:t>包埋工作站软件</w:t>
            </w:r>
          </w:p>
          <w:p w14:paraId="0A64403C">
            <w:pPr>
              <w:jc w:val="center"/>
            </w:pPr>
            <w:r>
              <w:rPr>
                <w:rFonts w:hint="eastAsia"/>
              </w:rPr>
              <w:t>1套</w:t>
            </w:r>
          </w:p>
        </w:tc>
        <w:tc>
          <w:tcPr>
            <w:tcW w:w="6120" w:type="dxa"/>
            <w:vAlign w:val="center"/>
          </w:tcPr>
          <w:p w14:paraId="4300F505">
            <w:r>
              <w:rPr>
                <w:rFonts w:hint="eastAsia"/>
              </w:rPr>
              <w:t>系统自动打开所有已取材但尚未包埋病例的取材明细记录，供技术员在包埋时进行核对。</w:t>
            </w:r>
          </w:p>
        </w:tc>
      </w:tr>
      <w:tr w14:paraId="7DF7C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0EAD595F">
            <w:pPr>
              <w:numPr>
                <w:ilvl w:val="0"/>
                <w:numId w:val="1"/>
              </w:numPr>
              <w:jc w:val="center"/>
            </w:pPr>
          </w:p>
        </w:tc>
        <w:tc>
          <w:tcPr>
            <w:tcW w:w="1800" w:type="dxa"/>
            <w:vMerge w:val="continue"/>
            <w:vAlign w:val="center"/>
          </w:tcPr>
          <w:p w14:paraId="2B4A4C1B">
            <w:pPr>
              <w:jc w:val="center"/>
            </w:pPr>
          </w:p>
        </w:tc>
        <w:tc>
          <w:tcPr>
            <w:tcW w:w="6120" w:type="dxa"/>
            <w:vAlign w:val="center"/>
          </w:tcPr>
          <w:p w14:paraId="5C56834B">
            <w:r>
              <w:rPr>
                <w:rFonts w:hint="eastAsia" w:ascii="宋体" w:hAnsi="宋体"/>
              </w:rPr>
              <w:t>记录组织材块“翻盖”“无组织”等特殊取材质量评价情况，</w:t>
            </w:r>
            <w:r>
              <w:rPr>
                <w:rFonts w:hint="eastAsia"/>
              </w:rPr>
              <w:t>能反馈到切片环节及病理医生处，</w:t>
            </w:r>
            <w:r>
              <w:rPr>
                <w:rFonts w:hint="eastAsia" w:ascii="宋体" w:hAnsi="宋体"/>
              </w:rPr>
              <w:t>并提供取材质量评价查询和统计功能。</w:t>
            </w:r>
          </w:p>
        </w:tc>
      </w:tr>
      <w:tr w14:paraId="4C8C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265EFFCE">
            <w:pPr>
              <w:numPr>
                <w:ilvl w:val="0"/>
                <w:numId w:val="1"/>
              </w:numPr>
              <w:jc w:val="center"/>
            </w:pPr>
          </w:p>
        </w:tc>
        <w:tc>
          <w:tcPr>
            <w:tcW w:w="1800" w:type="dxa"/>
            <w:vMerge w:val="continue"/>
            <w:vAlign w:val="center"/>
          </w:tcPr>
          <w:p w14:paraId="25885861">
            <w:pPr>
              <w:jc w:val="center"/>
            </w:pPr>
          </w:p>
        </w:tc>
        <w:tc>
          <w:tcPr>
            <w:tcW w:w="6120" w:type="dxa"/>
            <w:vAlign w:val="center"/>
          </w:tcPr>
          <w:p w14:paraId="7AB35335">
            <w:r>
              <w:rPr>
                <w:rFonts w:hint="eastAsia"/>
              </w:rPr>
              <w:t>提供包埋环节工作量统计信息。</w:t>
            </w:r>
          </w:p>
        </w:tc>
      </w:tr>
      <w:tr w14:paraId="2DD94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vAlign w:val="center"/>
          </w:tcPr>
          <w:p w14:paraId="33EF6522">
            <w:pPr>
              <w:numPr>
                <w:ilvl w:val="0"/>
                <w:numId w:val="1"/>
              </w:numPr>
              <w:jc w:val="center"/>
            </w:pPr>
          </w:p>
        </w:tc>
        <w:tc>
          <w:tcPr>
            <w:tcW w:w="1800" w:type="dxa"/>
            <w:vMerge w:val="restart"/>
            <w:vAlign w:val="center"/>
          </w:tcPr>
          <w:p w14:paraId="02079D93">
            <w:pPr>
              <w:jc w:val="center"/>
            </w:pPr>
            <w:r>
              <w:rPr>
                <w:rFonts w:hint="eastAsia"/>
              </w:rPr>
              <w:t>切片工作站软件</w:t>
            </w:r>
          </w:p>
          <w:p w14:paraId="7934CA2B">
            <w:pPr>
              <w:jc w:val="center"/>
            </w:pPr>
            <w:r>
              <w:rPr>
                <w:rFonts w:hint="eastAsia"/>
              </w:rPr>
              <w:t>1套</w:t>
            </w:r>
          </w:p>
        </w:tc>
        <w:tc>
          <w:tcPr>
            <w:tcW w:w="6120" w:type="dxa"/>
            <w:vAlign w:val="center"/>
          </w:tcPr>
          <w:p w14:paraId="793CD58C">
            <w:r>
              <w:rPr>
                <w:rFonts w:hint="eastAsia"/>
              </w:rPr>
              <w:t>系统自动提示所有已包埋但尚未制成切片的病例列表，或是有重切、深切要求的病例列表，或是下了免疫组化医嘱需切白片的病例列表。</w:t>
            </w:r>
          </w:p>
        </w:tc>
      </w:tr>
      <w:tr w14:paraId="50A47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042F8046">
            <w:pPr>
              <w:numPr>
                <w:ilvl w:val="0"/>
                <w:numId w:val="1"/>
              </w:numPr>
              <w:jc w:val="center"/>
            </w:pPr>
          </w:p>
        </w:tc>
        <w:tc>
          <w:tcPr>
            <w:tcW w:w="1800" w:type="dxa"/>
            <w:vMerge w:val="continue"/>
            <w:vAlign w:val="center"/>
          </w:tcPr>
          <w:p w14:paraId="2D58B195">
            <w:pPr>
              <w:jc w:val="center"/>
            </w:pPr>
          </w:p>
        </w:tc>
        <w:tc>
          <w:tcPr>
            <w:tcW w:w="6120" w:type="dxa"/>
            <w:vAlign w:val="center"/>
          </w:tcPr>
          <w:p w14:paraId="3EA164CA">
            <w:r>
              <w:rPr>
                <w:rFonts w:hint="eastAsia"/>
              </w:rPr>
              <w:t>可以查看每一病例的肉眼所见和取材明细。</w:t>
            </w:r>
          </w:p>
        </w:tc>
      </w:tr>
      <w:tr w14:paraId="457B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5004C1F5">
            <w:pPr>
              <w:numPr>
                <w:ilvl w:val="0"/>
                <w:numId w:val="1"/>
              </w:numPr>
              <w:jc w:val="center"/>
            </w:pPr>
          </w:p>
        </w:tc>
        <w:tc>
          <w:tcPr>
            <w:tcW w:w="1800" w:type="dxa"/>
            <w:vMerge w:val="continue"/>
            <w:vAlign w:val="center"/>
          </w:tcPr>
          <w:p w14:paraId="6191A66C">
            <w:pPr>
              <w:jc w:val="center"/>
            </w:pPr>
          </w:p>
        </w:tc>
        <w:tc>
          <w:tcPr>
            <w:tcW w:w="6120" w:type="dxa"/>
            <w:vAlign w:val="center"/>
          </w:tcPr>
          <w:p w14:paraId="2BAA75F2">
            <w:r>
              <w:rPr>
                <w:rFonts w:hint="eastAsia"/>
              </w:rPr>
              <w:t>可记录切片染色人、染色时间等相关信息。</w:t>
            </w:r>
          </w:p>
        </w:tc>
      </w:tr>
      <w:tr w14:paraId="687E3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48" w:type="dxa"/>
            <w:vMerge w:val="continue"/>
            <w:vAlign w:val="center"/>
          </w:tcPr>
          <w:p w14:paraId="305B5CBF">
            <w:pPr>
              <w:numPr>
                <w:ilvl w:val="0"/>
                <w:numId w:val="1"/>
              </w:numPr>
              <w:jc w:val="center"/>
            </w:pPr>
          </w:p>
        </w:tc>
        <w:tc>
          <w:tcPr>
            <w:tcW w:w="1800" w:type="dxa"/>
            <w:vMerge w:val="continue"/>
            <w:vAlign w:val="center"/>
          </w:tcPr>
          <w:p w14:paraId="3C01DA83">
            <w:pPr>
              <w:jc w:val="center"/>
            </w:pPr>
          </w:p>
        </w:tc>
        <w:tc>
          <w:tcPr>
            <w:tcW w:w="6120" w:type="dxa"/>
            <w:vAlign w:val="center"/>
          </w:tcPr>
          <w:p w14:paraId="2E28A63D">
            <w:r>
              <w:rPr>
                <w:rFonts w:hint="eastAsia"/>
              </w:rPr>
              <w:t>医生在报告站开出了重切、深切等医嘱，切片站可以自定义弹框提示，以提醒技术员及时处理。</w:t>
            </w:r>
          </w:p>
        </w:tc>
      </w:tr>
      <w:tr w14:paraId="20CC3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4C7938BD">
            <w:pPr>
              <w:numPr>
                <w:ilvl w:val="0"/>
                <w:numId w:val="1"/>
              </w:numPr>
              <w:jc w:val="center"/>
            </w:pPr>
          </w:p>
        </w:tc>
        <w:tc>
          <w:tcPr>
            <w:tcW w:w="1800" w:type="dxa"/>
            <w:vMerge w:val="continue"/>
            <w:vAlign w:val="center"/>
          </w:tcPr>
          <w:p w14:paraId="61827B48">
            <w:pPr>
              <w:jc w:val="center"/>
            </w:pPr>
          </w:p>
        </w:tc>
        <w:tc>
          <w:tcPr>
            <w:tcW w:w="6120" w:type="dxa"/>
            <w:vAlign w:val="center"/>
          </w:tcPr>
          <w:p w14:paraId="65C06414">
            <w:r>
              <w:rPr>
                <w:rFonts w:hint="eastAsia" w:ascii="宋体" w:hAnsi="宋体"/>
                <w:bCs/>
                <w:szCs w:val="21"/>
              </w:rPr>
              <w:t>对于重切、深切等内部医嘱，系统会自动提示原切片人的信息。</w:t>
            </w:r>
          </w:p>
        </w:tc>
      </w:tr>
      <w:tr w14:paraId="70C1A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55134929">
            <w:pPr>
              <w:numPr>
                <w:ilvl w:val="0"/>
                <w:numId w:val="1"/>
              </w:numPr>
              <w:jc w:val="center"/>
            </w:pPr>
          </w:p>
        </w:tc>
        <w:tc>
          <w:tcPr>
            <w:tcW w:w="1800" w:type="dxa"/>
            <w:vMerge w:val="continue"/>
            <w:vAlign w:val="center"/>
          </w:tcPr>
          <w:p w14:paraId="5FEA80CF">
            <w:pPr>
              <w:jc w:val="center"/>
            </w:pPr>
          </w:p>
        </w:tc>
        <w:tc>
          <w:tcPr>
            <w:tcW w:w="6120" w:type="dxa"/>
            <w:vAlign w:val="center"/>
          </w:tcPr>
          <w:p w14:paraId="425C7A03">
            <w:r>
              <w:rPr>
                <w:rFonts w:hint="eastAsia"/>
              </w:rPr>
              <w:t>按照蜡块包埋情况或重切、深切、免疫组化医嘱要求自动生成切片条码标签列表，用户可以进行手工调整。</w:t>
            </w:r>
          </w:p>
        </w:tc>
      </w:tr>
      <w:tr w14:paraId="038B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5000765D">
            <w:pPr>
              <w:numPr>
                <w:ilvl w:val="0"/>
                <w:numId w:val="1"/>
              </w:numPr>
              <w:jc w:val="center"/>
            </w:pPr>
          </w:p>
        </w:tc>
        <w:tc>
          <w:tcPr>
            <w:tcW w:w="1800" w:type="dxa"/>
            <w:vMerge w:val="continue"/>
            <w:vAlign w:val="center"/>
          </w:tcPr>
          <w:p w14:paraId="3CC9AFDE">
            <w:pPr>
              <w:jc w:val="center"/>
            </w:pPr>
          </w:p>
        </w:tc>
        <w:tc>
          <w:tcPr>
            <w:tcW w:w="6120" w:type="dxa"/>
            <w:vAlign w:val="center"/>
          </w:tcPr>
          <w:p w14:paraId="206CA893">
            <w:r>
              <w:rPr>
                <w:rFonts w:hint="eastAsia"/>
              </w:rPr>
              <w:t>切片标签的生成适应切片不合并、自动合并、手工合并等多种情况。</w:t>
            </w:r>
          </w:p>
        </w:tc>
      </w:tr>
      <w:tr w14:paraId="6CC0F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24BCF808">
            <w:pPr>
              <w:numPr>
                <w:ilvl w:val="0"/>
                <w:numId w:val="1"/>
              </w:numPr>
              <w:jc w:val="center"/>
            </w:pPr>
          </w:p>
        </w:tc>
        <w:tc>
          <w:tcPr>
            <w:tcW w:w="1800" w:type="dxa"/>
            <w:vMerge w:val="continue"/>
            <w:vAlign w:val="center"/>
          </w:tcPr>
          <w:p w14:paraId="008412EB">
            <w:pPr>
              <w:jc w:val="center"/>
            </w:pPr>
          </w:p>
        </w:tc>
        <w:tc>
          <w:tcPr>
            <w:tcW w:w="6120" w:type="dxa"/>
            <w:vAlign w:val="center"/>
          </w:tcPr>
          <w:p w14:paraId="65D663D6">
            <w:r>
              <w:t>可</w:t>
            </w:r>
            <w:r>
              <w:rPr>
                <w:rFonts w:hint="eastAsia"/>
              </w:rPr>
              <w:t>根据</w:t>
            </w:r>
            <w:r>
              <w:t>登记列表自动生成细胞学制片的条码标签</w:t>
            </w:r>
            <w:r>
              <w:rPr>
                <w:rFonts w:hint="eastAsia"/>
              </w:rPr>
              <w:t>。</w:t>
            </w:r>
          </w:p>
        </w:tc>
      </w:tr>
      <w:tr w14:paraId="5B688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41F1A689">
            <w:pPr>
              <w:numPr>
                <w:ilvl w:val="0"/>
                <w:numId w:val="1"/>
              </w:numPr>
              <w:jc w:val="center"/>
            </w:pPr>
          </w:p>
        </w:tc>
        <w:tc>
          <w:tcPr>
            <w:tcW w:w="1800" w:type="dxa"/>
            <w:vMerge w:val="continue"/>
            <w:vAlign w:val="center"/>
          </w:tcPr>
          <w:p w14:paraId="6E8EBA19">
            <w:pPr>
              <w:jc w:val="center"/>
            </w:pPr>
          </w:p>
        </w:tc>
        <w:tc>
          <w:tcPr>
            <w:tcW w:w="6120" w:type="dxa"/>
            <w:vAlign w:val="center"/>
          </w:tcPr>
          <w:p w14:paraId="7486333C">
            <w:r>
              <w:rPr>
                <w:rFonts w:hint="eastAsia"/>
              </w:rPr>
              <w:t>批量打印切片条码标签。</w:t>
            </w:r>
          </w:p>
        </w:tc>
      </w:tr>
      <w:tr w14:paraId="5264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537E25DA">
            <w:pPr>
              <w:numPr>
                <w:ilvl w:val="0"/>
                <w:numId w:val="1"/>
              </w:numPr>
              <w:jc w:val="center"/>
            </w:pPr>
          </w:p>
        </w:tc>
        <w:tc>
          <w:tcPr>
            <w:tcW w:w="1800" w:type="dxa"/>
            <w:vMerge w:val="continue"/>
            <w:vAlign w:val="center"/>
          </w:tcPr>
          <w:p w14:paraId="297EEC5F">
            <w:pPr>
              <w:jc w:val="center"/>
            </w:pPr>
          </w:p>
        </w:tc>
        <w:tc>
          <w:tcPr>
            <w:tcW w:w="6120" w:type="dxa"/>
            <w:vAlign w:val="center"/>
          </w:tcPr>
          <w:p w14:paraId="053EB9A1">
            <w:r>
              <w:rPr>
                <w:rFonts w:hint="eastAsia"/>
              </w:rPr>
              <w:t>提供切片交接管理工具，用于技师和医师之间的切片交接清点对照。切片工作表可按取材医师或开单医师分别整理；可按照“标本类型”“切片类型”“操作员”“病理号单双号”等条件进一步整理；可按照病理号、蜡块号或特检号分类整理；可分别打印“常规制片交接单”“免疫组化交接单”等不同工作表。</w:t>
            </w:r>
          </w:p>
        </w:tc>
      </w:tr>
      <w:tr w14:paraId="5A588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61D5A79E">
            <w:pPr>
              <w:numPr>
                <w:ilvl w:val="0"/>
                <w:numId w:val="1"/>
              </w:numPr>
              <w:jc w:val="center"/>
            </w:pPr>
          </w:p>
        </w:tc>
        <w:tc>
          <w:tcPr>
            <w:tcW w:w="1800" w:type="dxa"/>
            <w:vMerge w:val="continue"/>
            <w:vAlign w:val="center"/>
          </w:tcPr>
          <w:p w14:paraId="5C8C4472">
            <w:pPr>
              <w:jc w:val="center"/>
            </w:pPr>
          </w:p>
        </w:tc>
        <w:tc>
          <w:tcPr>
            <w:tcW w:w="6120" w:type="dxa"/>
            <w:vAlign w:val="center"/>
          </w:tcPr>
          <w:p w14:paraId="0C2AA069">
            <w:r>
              <w:rPr>
                <w:rFonts w:hint="eastAsia"/>
              </w:rPr>
              <w:t>可进行切片交接状态的管理。</w:t>
            </w:r>
          </w:p>
        </w:tc>
      </w:tr>
      <w:tr w14:paraId="28B8E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11E10011">
            <w:pPr>
              <w:numPr>
                <w:ilvl w:val="0"/>
                <w:numId w:val="1"/>
              </w:numPr>
              <w:jc w:val="center"/>
            </w:pPr>
          </w:p>
        </w:tc>
        <w:tc>
          <w:tcPr>
            <w:tcW w:w="1800" w:type="dxa"/>
            <w:vMerge w:val="continue"/>
            <w:vAlign w:val="center"/>
          </w:tcPr>
          <w:p w14:paraId="7FCC4C29">
            <w:pPr>
              <w:jc w:val="center"/>
            </w:pPr>
          </w:p>
        </w:tc>
        <w:tc>
          <w:tcPr>
            <w:tcW w:w="6120" w:type="dxa"/>
            <w:vAlign w:val="center"/>
          </w:tcPr>
          <w:p w14:paraId="5B92C5BE">
            <w:r>
              <w:rPr>
                <w:rFonts w:hint="eastAsia"/>
              </w:rPr>
              <w:t>提供切片环节工作量统计信息。</w:t>
            </w:r>
          </w:p>
        </w:tc>
      </w:tr>
      <w:tr w14:paraId="116A2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58552398">
            <w:pPr>
              <w:numPr>
                <w:ilvl w:val="0"/>
                <w:numId w:val="1"/>
              </w:numPr>
              <w:jc w:val="center"/>
            </w:pPr>
          </w:p>
        </w:tc>
        <w:tc>
          <w:tcPr>
            <w:tcW w:w="1800" w:type="dxa"/>
            <w:vMerge w:val="continue"/>
            <w:vAlign w:val="center"/>
          </w:tcPr>
          <w:p w14:paraId="55435F8D">
            <w:pPr>
              <w:jc w:val="center"/>
            </w:pPr>
          </w:p>
        </w:tc>
        <w:tc>
          <w:tcPr>
            <w:tcW w:w="6120" w:type="dxa"/>
            <w:vAlign w:val="center"/>
          </w:tcPr>
          <w:p w14:paraId="14B57C31">
            <w:r>
              <w:rPr>
                <w:rFonts w:hint="eastAsia" w:ascii="宋体" w:hAnsi="宋体"/>
                <w:bCs/>
                <w:szCs w:val="21"/>
              </w:rPr>
              <w:t>对每个病例都产生出切片明细列表，可由医生通过打分制进行切片质量评价工作，并提供切片质量月报表、日报表、非甲切片明细表及优片率统计功能。</w:t>
            </w:r>
          </w:p>
        </w:tc>
      </w:tr>
      <w:tr w14:paraId="7ED8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2F76002C">
            <w:pPr>
              <w:numPr>
                <w:ilvl w:val="0"/>
                <w:numId w:val="1"/>
              </w:numPr>
              <w:jc w:val="center"/>
            </w:pPr>
          </w:p>
        </w:tc>
        <w:tc>
          <w:tcPr>
            <w:tcW w:w="1800" w:type="dxa"/>
            <w:vMerge w:val="continue"/>
            <w:vAlign w:val="center"/>
          </w:tcPr>
          <w:p w14:paraId="5CF15CD8">
            <w:pPr>
              <w:jc w:val="center"/>
            </w:pPr>
          </w:p>
        </w:tc>
        <w:tc>
          <w:tcPr>
            <w:tcW w:w="6120" w:type="dxa"/>
            <w:vAlign w:val="center"/>
          </w:tcPr>
          <w:p w14:paraId="3283A189">
            <w:r>
              <w:rPr>
                <w:rFonts w:hint="eastAsia"/>
              </w:rPr>
              <w:t>对已评价过的每一张切片可以进行切片评价处理记录，如原因分析及处理结果。</w:t>
            </w:r>
          </w:p>
        </w:tc>
      </w:tr>
      <w:tr w14:paraId="17397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vAlign w:val="center"/>
          </w:tcPr>
          <w:p w14:paraId="614293F2">
            <w:pPr>
              <w:numPr>
                <w:ilvl w:val="0"/>
                <w:numId w:val="1"/>
              </w:numPr>
              <w:jc w:val="center"/>
            </w:pPr>
          </w:p>
        </w:tc>
        <w:tc>
          <w:tcPr>
            <w:tcW w:w="1800" w:type="dxa"/>
            <w:vMerge w:val="restart"/>
            <w:vAlign w:val="center"/>
          </w:tcPr>
          <w:p w14:paraId="523291A4">
            <w:pPr>
              <w:jc w:val="center"/>
            </w:pPr>
            <w:r>
              <w:rPr>
                <w:rFonts w:hint="eastAsia"/>
              </w:rPr>
              <w:t>玻片打号机接口模块</w:t>
            </w:r>
          </w:p>
          <w:p w14:paraId="790A1B8A">
            <w:pPr>
              <w:jc w:val="center"/>
            </w:pPr>
            <w:r>
              <w:rPr>
                <w:rFonts w:hint="eastAsia"/>
              </w:rPr>
              <w:t>1套</w:t>
            </w:r>
          </w:p>
        </w:tc>
        <w:tc>
          <w:tcPr>
            <w:tcW w:w="6120" w:type="dxa"/>
            <w:vAlign w:val="center"/>
          </w:tcPr>
          <w:p w14:paraId="13CF6A9B">
            <w:pPr>
              <w:rPr>
                <w:szCs w:val="21"/>
              </w:rPr>
            </w:pPr>
            <w:r>
              <w:rPr>
                <w:rFonts w:hint="eastAsia" w:ascii="宋体" w:hAnsi="宋体"/>
                <w:szCs w:val="21"/>
              </w:rPr>
              <w:t>通过定制接口将玻片打号机连入网络，以网络传输的方式取代手工录入，可将切片工作站软件中的切片明细列表直接传给玻片打号机打印。</w:t>
            </w:r>
          </w:p>
        </w:tc>
      </w:tr>
      <w:tr w14:paraId="6DB5A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13AFEA9B">
            <w:pPr>
              <w:numPr>
                <w:ilvl w:val="0"/>
                <w:numId w:val="1"/>
              </w:numPr>
              <w:jc w:val="center"/>
            </w:pPr>
          </w:p>
        </w:tc>
        <w:tc>
          <w:tcPr>
            <w:tcW w:w="1800" w:type="dxa"/>
            <w:vMerge w:val="continue"/>
            <w:vAlign w:val="center"/>
          </w:tcPr>
          <w:p w14:paraId="5EC7F57A">
            <w:pPr>
              <w:jc w:val="center"/>
            </w:pPr>
          </w:p>
        </w:tc>
        <w:tc>
          <w:tcPr>
            <w:tcW w:w="6120" w:type="dxa"/>
            <w:vAlign w:val="center"/>
          </w:tcPr>
          <w:p w14:paraId="382139DD">
            <w:pPr>
              <w:rPr>
                <w:szCs w:val="21"/>
              </w:rPr>
            </w:pPr>
            <w:r>
              <w:rPr>
                <w:rFonts w:hint="eastAsia" w:ascii="宋体" w:hAnsi="宋体"/>
                <w:szCs w:val="21"/>
              </w:rPr>
              <w:t>支持制片技师等信息的打印。</w:t>
            </w:r>
          </w:p>
        </w:tc>
      </w:tr>
      <w:tr w14:paraId="29C5A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6CBCC1EF">
            <w:pPr>
              <w:numPr>
                <w:ilvl w:val="0"/>
                <w:numId w:val="1"/>
              </w:numPr>
              <w:jc w:val="center"/>
            </w:pPr>
          </w:p>
        </w:tc>
        <w:tc>
          <w:tcPr>
            <w:tcW w:w="1800" w:type="dxa"/>
            <w:vMerge w:val="continue"/>
            <w:vAlign w:val="center"/>
          </w:tcPr>
          <w:p w14:paraId="2068E0D7">
            <w:pPr>
              <w:jc w:val="center"/>
            </w:pPr>
          </w:p>
        </w:tc>
        <w:tc>
          <w:tcPr>
            <w:tcW w:w="6120" w:type="dxa"/>
            <w:vAlign w:val="center"/>
          </w:tcPr>
          <w:p w14:paraId="72866B0C">
            <w:pPr>
              <w:rPr>
                <w:szCs w:val="21"/>
              </w:rPr>
            </w:pPr>
            <w:r>
              <w:rPr>
                <w:rFonts w:hint="eastAsia" w:ascii="宋体" w:hAnsi="宋体"/>
                <w:szCs w:val="21"/>
              </w:rPr>
              <w:t>支持常规标签和免疫组化标签的玻片打号。</w:t>
            </w:r>
          </w:p>
        </w:tc>
      </w:tr>
      <w:tr w14:paraId="05D5B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1FC3A018">
            <w:pPr>
              <w:numPr>
                <w:ilvl w:val="0"/>
                <w:numId w:val="1"/>
              </w:numPr>
              <w:jc w:val="center"/>
            </w:pPr>
          </w:p>
        </w:tc>
        <w:tc>
          <w:tcPr>
            <w:tcW w:w="1800" w:type="dxa"/>
            <w:vMerge w:val="continue"/>
            <w:vAlign w:val="center"/>
          </w:tcPr>
          <w:p w14:paraId="2EE1726A">
            <w:pPr>
              <w:jc w:val="center"/>
            </w:pPr>
          </w:p>
        </w:tc>
        <w:tc>
          <w:tcPr>
            <w:tcW w:w="6120" w:type="dxa"/>
            <w:vAlign w:val="center"/>
          </w:tcPr>
          <w:p w14:paraId="19EF211B">
            <w:pPr>
              <w:rPr>
                <w:szCs w:val="21"/>
              </w:rPr>
            </w:pPr>
            <w:r>
              <w:rPr>
                <w:rFonts w:hint="eastAsia" w:ascii="宋体" w:hAnsi="宋体"/>
                <w:szCs w:val="21"/>
              </w:rPr>
              <w:t>支持二维码打印。（需打号机支持相应功能）</w:t>
            </w:r>
          </w:p>
        </w:tc>
      </w:tr>
      <w:tr w14:paraId="10735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vAlign w:val="center"/>
          </w:tcPr>
          <w:p w14:paraId="740F6967">
            <w:pPr>
              <w:numPr>
                <w:ilvl w:val="0"/>
                <w:numId w:val="1"/>
              </w:numPr>
              <w:jc w:val="center"/>
            </w:pPr>
          </w:p>
        </w:tc>
        <w:tc>
          <w:tcPr>
            <w:tcW w:w="1800" w:type="dxa"/>
            <w:vMerge w:val="restart"/>
            <w:vAlign w:val="center"/>
          </w:tcPr>
          <w:p w14:paraId="0E4B9526">
            <w:pPr>
              <w:jc w:val="center"/>
            </w:pPr>
            <w:r>
              <w:rPr>
                <w:rFonts w:hint="eastAsia"/>
              </w:rPr>
              <w:t>综合报告工作站软件</w:t>
            </w:r>
          </w:p>
          <w:p w14:paraId="04A588AF">
            <w:pPr>
              <w:jc w:val="center"/>
            </w:pPr>
            <w:r>
              <w:rPr>
                <w:rFonts w:hint="eastAsia"/>
              </w:rPr>
              <w:t>2套</w:t>
            </w:r>
          </w:p>
        </w:tc>
        <w:tc>
          <w:tcPr>
            <w:tcW w:w="6120" w:type="dxa"/>
            <w:vAlign w:val="center"/>
          </w:tcPr>
          <w:p w14:paraId="5D7945B0">
            <w:r>
              <w:rPr>
                <w:rFonts w:hint="eastAsia"/>
              </w:rPr>
              <w:t>可查看病例的基本信息、临床诊断信息、大体标本的照片和描述、取材的明细记录等内容。录入镜下所见、病理诊断、免疫组化结果、液基细胞学等诊断报告项目。报告常用词、报告格式自定义功能。</w:t>
            </w:r>
          </w:p>
        </w:tc>
      </w:tr>
      <w:tr w14:paraId="2317A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3533217F">
            <w:pPr>
              <w:numPr>
                <w:ilvl w:val="0"/>
                <w:numId w:val="1"/>
              </w:numPr>
              <w:jc w:val="center"/>
            </w:pPr>
          </w:p>
        </w:tc>
        <w:tc>
          <w:tcPr>
            <w:tcW w:w="1800" w:type="dxa"/>
            <w:vMerge w:val="continue"/>
            <w:vAlign w:val="center"/>
          </w:tcPr>
          <w:p w14:paraId="0598D34A">
            <w:pPr>
              <w:jc w:val="center"/>
            </w:pPr>
          </w:p>
        </w:tc>
        <w:tc>
          <w:tcPr>
            <w:tcW w:w="6120" w:type="dxa"/>
            <w:vAlign w:val="center"/>
          </w:tcPr>
          <w:p w14:paraId="52EE82AB">
            <w:r>
              <w:rPr>
                <w:rFonts w:hint="eastAsia"/>
              </w:rPr>
              <w:t>使用带标准TWAIN32接口的数码摄像头，可实时浏览、采集和保存镜下图像。</w:t>
            </w:r>
          </w:p>
        </w:tc>
      </w:tr>
      <w:tr w14:paraId="7C28D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5DEA06DA">
            <w:pPr>
              <w:numPr>
                <w:ilvl w:val="0"/>
                <w:numId w:val="1"/>
              </w:numPr>
              <w:jc w:val="center"/>
            </w:pPr>
          </w:p>
        </w:tc>
        <w:tc>
          <w:tcPr>
            <w:tcW w:w="1800" w:type="dxa"/>
            <w:vMerge w:val="continue"/>
            <w:vAlign w:val="center"/>
          </w:tcPr>
          <w:p w14:paraId="7615B13C">
            <w:pPr>
              <w:jc w:val="center"/>
            </w:pPr>
          </w:p>
        </w:tc>
        <w:tc>
          <w:tcPr>
            <w:tcW w:w="6120" w:type="dxa"/>
            <w:vAlign w:val="center"/>
          </w:tcPr>
          <w:p w14:paraId="393D350C">
            <w:r>
              <w:rPr>
                <w:rFonts w:hint="eastAsia" w:ascii="宋体" w:hAnsi="宋体"/>
                <w:bCs/>
                <w:szCs w:val="21"/>
              </w:rPr>
              <w:t>根据登录用户身份，自动提示“我的未审核报告”“我的未打印报告”“我的未写报告”“我的延期报告”“我的申请复片”“我的待复片”“我的外借返回病例”“我的收藏夹”“科内会诊”“需随访病例”等列表。</w:t>
            </w:r>
          </w:p>
        </w:tc>
      </w:tr>
      <w:tr w14:paraId="64F2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45C1FDA7">
            <w:pPr>
              <w:numPr>
                <w:ilvl w:val="0"/>
                <w:numId w:val="1"/>
              </w:numPr>
              <w:jc w:val="center"/>
            </w:pPr>
          </w:p>
        </w:tc>
        <w:tc>
          <w:tcPr>
            <w:tcW w:w="1800" w:type="dxa"/>
            <w:vMerge w:val="continue"/>
            <w:vAlign w:val="center"/>
          </w:tcPr>
          <w:p w14:paraId="3E2CBB1F">
            <w:pPr>
              <w:jc w:val="center"/>
            </w:pPr>
          </w:p>
        </w:tc>
        <w:tc>
          <w:tcPr>
            <w:tcW w:w="6120" w:type="dxa"/>
            <w:vAlign w:val="center"/>
          </w:tcPr>
          <w:p w14:paraId="55136ABA">
            <w:r>
              <w:rPr>
                <w:rFonts w:hint="eastAsia" w:ascii="宋体" w:hAnsi="宋体"/>
                <w:bCs/>
                <w:szCs w:val="21"/>
              </w:rPr>
              <w:t>自动提示该病例的历史病理结果和同次送检的其他标本检查情况。除“同名检索”功能外，还能进一步进行住院号、病人编号或身份证号的匹配，以准确锁定该病人的检查记录。</w:t>
            </w:r>
          </w:p>
        </w:tc>
      </w:tr>
      <w:tr w14:paraId="1AE63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3F649435">
            <w:pPr>
              <w:numPr>
                <w:ilvl w:val="0"/>
                <w:numId w:val="1"/>
              </w:numPr>
              <w:jc w:val="center"/>
            </w:pPr>
          </w:p>
        </w:tc>
        <w:tc>
          <w:tcPr>
            <w:tcW w:w="1800" w:type="dxa"/>
            <w:vMerge w:val="continue"/>
            <w:vAlign w:val="center"/>
          </w:tcPr>
          <w:p w14:paraId="109698FD">
            <w:pPr>
              <w:jc w:val="center"/>
            </w:pPr>
          </w:p>
        </w:tc>
        <w:tc>
          <w:tcPr>
            <w:tcW w:w="6120" w:type="dxa"/>
            <w:vAlign w:val="center"/>
          </w:tcPr>
          <w:p w14:paraId="7C77CC51">
            <w:r>
              <w:rPr>
                <w:rFonts w:hint="eastAsia"/>
              </w:rPr>
              <w:t>在查看病人的历史检查时可浏览对应病理号的镜下图像及取材明细。</w:t>
            </w:r>
          </w:p>
        </w:tc>
      </w:tr>
      <w:tr w14:paraId="1041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0D0A21EA">
            <w:pPr>
              <w:numPr>
                <w:ilvl w:val="0"/>
                <w:numId w:val="1"/>
              </w:numPr>
              <w:jc w:val="center"/>
            </w:pPr>
          </w:p>
        </w:tc>
        <w:tc>
          <w:tcPr>
            <w:tcW w:w="1800" w:type="dxa"/>
            <w:vMerge w:val="continue"/>
            <w:vAlign w:val="center"/>
          </w:tcPr>
          <w:p w14:paraId="58C3B5DE">
            <w:pPr>
              <w:jc w:val="center"/>
            </w:pPr>
          </w:p>
        </w:tc>
        <w:tc>
          <w:tcPr>
            <w:tcW w:w="6120" w:type="dxa"/>
            <w:vAlign w:val="center"/>
          </w:tcPr>
          <w:p w14:paraId="6724F7C3">
            <w:pPr>
              <w:rPr>
                <w:rFonts w:hint="eastAsia" w:ascii="宋体" w:hAnsi="宋体"/>
                <w:bCs/>
                <w:szCs w:val="21"/>
              </w:rPr>
            </w:pPr>
            <w:r>
              <w:rPr>
                <w:rFonts w:hint="eastAsia" w:ascii="宋体" w:hAnsi="宋体"/>
                <w:bCs/>
                <w:szCs w:val="21"/>
              </w:rPr>
              <w:t>提供同一病理号（或冰冻号）不限次数的独立冰冻报告，每一份冰冻报告单独记录收到时间、取材医生、取材块数、制片人、报告医生、审核医生、报告时间等项目，每一份冰冻报告可单独进行审核并提供给临床进行查看。</w:t>
            </w:r>
          </w:p>
        </w:tc>
      </w:tr>
      <w:tr w14:paraId="34015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4B285398">
            <w:pPr>
              <w:numPr>
                <w:ilvl w:val="0"/>
                <w:numId w:val="1"/>
              </w:numPr>
              <w:jc w:val="center"/>
            </w:pPr>
          </w:p>
        </w:tc>
        <w:tc>
          <w:tcPr>
            <w:tcW w:w="1800" w:type="dxa"/>
            <w:vMerge w:val="continue"/>
            <w:vAlign w:val="center"/>
          </w:tcPr>
          <w:p w14:paraId="651BC2BC">
            <w:pPr>
              <w:jc w:val="center"/>
            </w:pPr>
          </w:p>
        </w:tc>
        <w:tc>
          <w:tcPr>
            <w:tcW w:w="6120" w:type="dxa"/>
            <w:vAlign w:val="center"/>
          </w:tcPr>
          <w:p w14:paraId="750AA24D">
            <w:pPr>
              <w:rPr>
                <w:rFonts w:hint="eastAsia" w:ascii="宋体" w:hAnsi="宋体"/>
                <w:bCs/>
                <w:szCs w:val="21"/>
              </w:rPr>
            </w:pPr>
            <w:r>
              <w:rPr>
                <w:rFonts w:hint="eastAsia" w:ascii="宋体" w:hAnsi="宋体"/>
                <w:bCs/>
                <w:szCs w:val="21"/>
              </w:rPr>
              <w:t>针对同一病理号（或冰冻号）多次的独立冰冻报告，在发放冰冻报告时系统需保证同一病理号前面的冰冻报告已发放。</w:t>
            </w:r>
          </w:p>
        </w:tc>
      </w:tr>
      <w:tr w14:paraId="65B8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32369DA6">
            <w:pPr>
              <w:numPr>
                <w:ilvl w:val="0"/>
                <w:numId w:val="1"/>
              </w:numPr>
              <w:jc w:val="center"/>
            </w:pPr>
          </w:p>
        </w:tc>
        <w:tc>
          <w:tcPr>
            <w:tcW w:w="1800" w:type="dxa"/>
            <w:vMerge w:val="continue"/>
            <w:vAlign w:val="center"/>
          </w:tcPr>
          <w:p w14:paraId="744AB07C">
            <w:pPr>
              <w:jc w:val="center"/>
            </w:pPr>
          </w:p>
        </w:tc>
        <w:tc>
          <w:tcPr>
            <w:tcW w:w="6120" w:type="dxa"/>
            <w:vAlign w:val="center"/>
          </w:tcPr>
          <w:p w14:paraId="70617450">
            <w:pPr>
              <w:rPr>
                <w:rFonts w:hint="eastAsia" w:ascii="宋体" w:hAnsi="宋体"/>
                <w:bCs/>
                <w:szCs w:val="21"/>
              </w:rPr>
            </w:pPr>
            <w:r>
              <w:rPr>
                <w:rFonts w:hint="eastAsia" w:ascii="宋体" w:hAnsi="宋体"/>
                <w:bCs/>
                <w:szCs w:val="21"/>
              </w:rPr>
              <w:t>冰冻超时报告可提示医生进行“迟发原因”的输入，可自定义迟发原因并进行下拉框选择。</w:t>
            </w:r>
          </w:p>
        </w:tc>
      </w:tr>
      <w:tr w14:paraId="76A5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625FD0C7">
            <w:pPr>
              <w:numPr>
                <w:ilvl w:val="0"/>
                <w:numId w:val="1"/>
              </w:numPr>
              <w:jc w:val="center"/>
            </w:pPr>
          </w:p>
        </w:tc>
        <w:tc>
          <w:tcPr>
            <w:tcW w:w="1800" w:type="dxa"/>
            <w:vMerge w:val="continue"/>
            <w:vAlign w:val="center"/>
          </w:tcPr>
          <w:p w14:paraId="10D951CA">
            <w:pPr>
              <w:jc w:val="center"/>
            </w:pPr>
          </w:p>
        </w:tc>
        <w:tc>
          <w:tcPr>
            <w:tcW w:w="6120" w:type="dxa"/>
            <w:vAlign w:val="center"/>
          </w:tcPr>
          <w:p w14:paraId="7C2370A5">
            <w:pPr>
              <w:rPr>
                <w:rFonts w:hint="eastAsia" w:ascii="宋体" w:hAnsi="宋体"/>
                <w:bCs/>
                <w:szCs w:val="21"/>
              </w:rPr>
            </w:pPr>
            <w:r>
              <w:rPr>
                <w:rFonts w:hint="eastAsia" w:ascii="宋体" w:hAnsi="宋体"/>
                <w:bCs/>
                <w:szCs w:val="21"/>
              </w:rPr>
              <w:t>可按时间段统计术中冰冻的送检例数、送检次数及取材块数。</w:t>
            </w:r>
          </w:p>
        </w:tc>
      </w:tr>
      <w:tr w14:paraId="0EDB7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42928304">
            <w:pPr>
              <w:numPr>
                <w:ilvl w:val="0"/>
                <w:numId w:val="1"/>
              </w:numPr>
              <w:jc w:val="center"/>
            </w:pPr>
          </w:p>
        </w:tc>
        <w:tc>
          <w:tcPr>
            <w:tcW w:w="1800" w:type="dxa"/>
            <w:vMerge w:val="continue"/>
            <w:vAlign w:val="center"/>
          </w:tcPr>
          <w:p w14:paraId="09B8F5EA">
            <w:pPr>
              <w:jc w:val="center"/>
            </w:pPr>
          </w:p>
        </w:tc>
        <w:tc>
          <w:tcPr>
            <w:tcW w:w="6120" w:type="dxa"/>
            <w:vAlign w:val="center"/>
          </w:tcPr>
          <w:p w14:paraId="17BED419">
            <w:pPr>
              <w:rPr>
                <w:rFonts w:hint="eastAsia" w:ascii="宋体" w:hAnsi="宋体"/>
                <w:bCs/>
                <w:szCs w:val="21"/>
              </w:rPr>
            </w:pPr>
            <w:r>
              <w:rPr>
                <w:rFonts w:hint="eastAsia" w:ascii="宋体" w:hAnsi="宋体"/>
                <w:bCs/>
                <w:szCs w:val="21"/>
              </w:rPr>
              <w:t>提供“冰冻-石蜡”诊断对照功能。可进行冰冻诊断符合率的统计。</w:t>
            </w:r>
          </w:p>
        </w:tc>
      </w:tr>
      <w:tr w14:paraId="4E2CC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1590CFEA">
            <w:pPr>
              <w:numPr>
                <w:ilvl w:val="0"/>
                <w:numId w:val="1"/>
              </w:numPr>
              <w:jc w:val="center"/>
            </w:pPr>
          </w:p>
        </w:tc>
        <w:tc>
          <w:tcPr>
            <w:tcW w:w="1800" w:type="dxa"/>
            <w:vMerge w:val="continue"/>
            <w:vAlign w:val="center"/>
          </w:tcPr>
          <w:p w14:paraId="6F850E8F">
            <w:pPr>
              <w:jc w:val="center"/>
            </w:pPr>
          </w:p>
        </w:tc>
        <w:tc>
          <w:tcPr>
            <w:tcW w:w="6120" w:type="dxa"/>
            <w:vAlign w:val="center"/>
          </w:tcPr>
          <w:p w14:paraId="5E8C79E3">
            <w:pPr>
              <w:rPr>
                <w:rFonts w:hint="eastAsia" w:ascii="宋体" w:hAnsi="宋体"/>
                <w:bCs/>
                <w:szCs w:val="21"/>
              </w:rPr>
            </w:pPr>
            <w:r>
              <w:rPr>
                <w:rFonts w:hint="eastAsia" w:ascii="宋体" w:hAnsi="宋体"/>
                <w:bCs/>
                <w:szCs w:val="21"/>
              </w:rPr>
              <w:t>可进行冰冻制片时间的统计，还可进行冰冻制片及时率的统计。</w:t>
            </w:r>
          </w:p>
        </w:tc>
      </w:tr>
      <w:tr w14:paraId="1E88D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28292F38">
            <w:pPr>
              <w:numPr>
                <w:ilvl w:val="0"/>
                <w:numId w:val="1"/>
              </w:numPr>
              <w:jc w:val="center"/>
            </w:pPr>
          </w:p>
        </w:tc>
        <w:tc>
          <w:tcPr>
            <w:tcW w:w="1800" w:type="dxa"/>
            <w:vMerge w:val="continue"/>
            <w:vAlign w:val="center"/>
          </w:tcPr>
          <w:p w14:paraId="4F05305D">
            <w:pPr>
              <w:jc w:val="center"/>
            </w:pPr>
          </w:p>
        </w:tc>
        <w:tc>
          <w:tcPr>
            <w:tcW w:w="6120" w:type="dxa"/>
            <w:vAlign w:val="center"/>
          </w:tcPr>
          <w:p w14:paraId="151D4265">
            <w:pPr>
              <w:rPr>
                <w:rFonts w:hint="eastAsia" w:ascii="宋体" w:hAnsi="宋体"/>
                <w:bCs/>
                <w:szCs w:val="21"/>
              </w:rPr>
            </w:pPr>
            <w:r>
              <w:rPr>
                <w:rFonts w:hint="eastAsia" w:ascii="宋体" w:hAnsi="宋体"/>
                <w:bCs/>
                <w:szCs w:val="21"/>
              </w:rPr>
              <w:t>可进行冰冻报告发放时间的统计，并显示冰冻超时报告的迟发原因。</w:t>
            </w:r>
          </w:p>
        </w:tc>
      </w:tr>
      <w:tr w14:paraId="41387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01E050B6">
            <w:pPr>
              <w:numPr>
                <w:ilvl w:val="0"/>
                <w:numId w:val="1"/>
              </w:numPr>
              <w:jc w:val="center"/>
            </w:pPr>
          </w:p>
        </w:tc>
        <w:tc>
          <w:tcPr>
            <w:tcW w:w="1800" w:type="dxa"/>
            <w:vMerge w:val="continue"/>
            <w:vAlign w:val="center"/>
          </w:tcPr>
          <w:p w14:paraId="15850374">
            <w:pPr>
              <w:jc w:val="center"/>
            </w:pPr>
          </w:p>
        </w:tc>
        <w:tc>
          <w:tcPr>
            <w:tcW w:w="6120" w:type="dxa"/>
            <w:vAlign w:val="center"/>
          </w:tcPr>
          <w:p w14:paraId="2AE22880">
            <w:r>
              <w:t>可进行术中快速病理诊断及时率的统计（包括多台同时送检且时间在45分钟之内的情况的特殊处理）</w:t>
            </w:r>
          </w:p>
        </w:tc>
      </w:tr>
      <w:tr w14:paraId="7FD13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2E8DF33E">
            <w:pPr>
              <w:numPr>
                <w:ilvl w:val="0"/>
                <w:numId w:val="1"/>
              </w:numPr>
              <w:jc w:val="center"/>
            </w:pPr>
          </w:p>
        </w:tc>
        <w:tc>
          <w:tcPr>
            <w:tcW w:w="1800" w:type="dxa"/>
            <w:vMerge w:val="continue"/>
            <w:vAlign w:val="center"/>
          </w:tcPr>
          <w:p w14:paraId="16B94BF8">
            <w:pPr>
              <w:jc w:val="center"/>
            </w:pPr>
          </w:p>
        </w:tc>
        <w:tc>
          <w:tcPr>
            <w:tcW w:w="6120" w:type="dxa"/>
            <w:vAlign w:val="center"/>
          </w:tcPr>
          <w:p w14:paraId="5DA436A5">
            <w:pPr>
              <w:rPr>
                <w:rFonts w:hint="eastAsia" w:ascii="宋体" w:hAnsi="宋体"/>
                <w:bCs/>
                <w:szCs w:val="21"/>
              </w:rPr>
            </w:pPr>
            <w:r>
              <w:rPr>
                <w:rFonts w:hint="eastAsia" w:ascii="宋体" w:hAnsi="宋体"/>
                <w:bCs/>
                <w:szCs w:val="21"/>
              </w:rPr>
              <w:t>可查看取材明细列表，在列表中可进行淋巴结转移情况标记，并将标记说明一键快速导入到病理诊断中。</w:t>
            </w:r>
          </w:p>
        </w:tc>
      </w:tr>
      <w:tr w14:paraId="69CA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176CB776">
            <w:pPr>
              <w:numPr>
                <w:ilvl w:val="0"/>
                <w:numId w:val="1"/>
              </w:numPr>
              <w:jc w:val="center"/>
            </w:pPr>
          </w:p>
        </w:tc>
        <w:tc>
          <w:tcPr>
            <w:tcW w:w="1800" w:type="dxa"/>
            <w:vMerge w:val="continue"/>
            <w:vAlign w:val="center"/>
          </w:tcPr>
          <w:p w14:paraId="40C6E117">
            <w:pPr>
              <w:jc w:val="center"/>
            </w:pPr>
          </w:p>
        </w:tc>
        <w:tc>
          <w:tcPr>
            <w:tcW w:w="6120" w:type="dxa"/>
            <w:vAlign w:val="center"/>
          </w:tcPr>
          <w:p w14:paraId="28B6042D">
            <w:pPr>
              <w:rPr>
                <w:rFonts w:hint="eastAsia" w:ascii="宋体" w:hAnsi="宋体"/>
                <w:bCs/>
                <w:szCs w:val="21"/>
              </w:rPr>
            </w:pPr>
            <w:r>
              <w:rPr>
                <w:rFonts w:hint="eastAsia" w:ascii="宋体" w:hAnsi="宋体"/>
                <w:bCs/>
                <w:szCs w:val="21"/>
              </w:rPr>
              <w:t>可将标本名称和冰冻诊断提取到病理诊断中。</w:t>
            </w:r>
          </w:p>
        </w:tc>
      </w:tr>
      <w:tr w14:paraId="3BDBA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2B6BF875">
            <w:pPr>
              <w:numPr>
                <w:ilvl w:val="0"/>
                <w:numId w:val="1"/>
              </w:numPr>
              <w:jc w:val="center"/>
            </w:pPr>
          </w:p>
        </w:tc>
        <w:tc>
          <w:tcPr>
            <w:tcW w:w="1800" w:type="dxa"/>
            <w:vMerge w:val="continue"/>
            <w:vAlign w:val="center"/>
          </w:tcPr>
          <w:p w14:paraId="68277BFD">
            <w:pPr>
              <w:jc w:val="center"/>
            </w:pPr>
          </w:p>
        </w:tc>
        <w:tc>
          <w:tcPr>
            <w:tcW w:w="6120" w:type="dxa"/>
            <w:vAlign w:val="center"/>
          </w:tcPr>
          <w:p w14:paraId="4DCC90CB">
            <w:pPr>
              <w:rPr>
                <w:rFonts w:hint="eastAsia" w:ascii="宋体" w:hAnsi="宋体"/>
                <w:bCs/>
                <w:szCs w:val="21"/>
              </w:rPr>
            </w:pPr>
            <w:r>
              <w:rPr>
                <w:rFonts w:hint="eastAsia"/>
              </w:rPr>
              <w:t>适应病理报告三级医生负责制，提供定向复片、多级复片功能，初诊意见和复片意见单独保存备查。上级医生可对初诊意见进行结果评价，可以统计复片数和复片准确率。</w:t>
            </w:r>
          </w:p>
        </w:tc>
      </w:tr>
      <w:tr w14:paraId="2E98D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759E43C7">
            <w:pPr>
              <w:numPr>
                <w:ilvl w:val="0"/>
                <w:numId w:val="1"/>
              </w:numPr>
              <w:jc w:val="center"/>
            </w:pPr>
          </w:p>
        </w:tc>
        <w:tc>
          <w:tcPr>
            <w:tcW w:w="1800" w:type="dxa"/>
            <w:vMerge w:val="continue"/>
            <w:vAlign w:val="center"/>
          </w:tcPr>
          <w:p w14:paraId="539B1AA9">
            <w:pPr>
              <w:jc w:val="center"/>
            </w:pPr>
          </w:p>
        </w:tc>
        <w:tc>
          <w:tcPr>
            <w:tcW w:w="6120" w:type="dxa"/>
            <w:vAlign w:val="center"/>
          </w:tcPr>
          <w:p w14:paraId="005A987F">
            <w:r>
              <w:rPr>
                <w:rFonts w:hint="eastAsia"/>
              </w:rPr>
              <w:t>针对七类小标本和二十类大标本肿瘤疾病，提供国际先进的“结构化报告”标准报告模版。</w:t>
            </w:r>
          </w:p>
        </w:tc>
      </w:tr>
      <w:tr w14:paraId="75D5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398DA4D3">
            <w:pPr>
              <w:numPr>
                <w:ilvl w:val="0"/>
                <w:numId w:val="1"/>
              </w:numPr>
              <w:jc w:val="center"/>
            </w:pPr>
          </w:p>
        </w:tc>
        <w:tc>
          <w:tcPr>
            <w:tcW w:w="1800" w:type="dxa"/>
            <w:vMerge w:val="continue"/>
            <w:vAlign w:val="center"/>
          </w:tcPr>
          <w:p w14:paraId="09F913EA">
            <w:pPr>
              <w:jc w:val="center"/>
            </w:pPr>
          </w:p>
        </w:tc>
        <w:tc>
          <w:tcPr>
            <w:tcW w:w="6120" w:type="dxa"/>
            <w:vAlign w:val="center"/>
          </w:tcPr>
          <w:p w14:paraId="337DA2A5">
            <w:r>
              <w:rPr>
                <w:rFonts w:hint="eastAsia"/>
              </w:rPr>
              <w:t>采用包括TBS2004在内的多种分级报告系统，用户点选选项即可快速输出液基细胞学报告。</w:t>
            </w:r>
          </w:p>
        </w:tc>
      </w:tr>
      <w:tr w14:paraId="6C0E5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1429EE23">
            <w:pPr>
              <w:numPr>
                <w:ilvl w:val="0"/>
                <w:numId w:val="1"/>
              </w:numPr>
              <w:jc w:val="center"/>
            </w:pPr>
          </w:p>
        </w:tc>
        <w:tc>
          <w:tcPr>
            <w:tcW w:w="1800" w:type="dxa"/>
            <w:vMerge w:val="continue"/>
            <w:vAlign w:val="center"/>
          </w:tcPr>
          <w:p w14:paraId="27A17D2C">
            <w:pPr>
              <w:jc w:val="center"/>
            </w:pPr>
          </w:p>
        </w:tc>
        <w:tc>
          <w:tcPr>
            <w:tcW w:w="6120" w:type="dxa"/>
            <w:vAlign w:val="center"/>
          </w:tcPr>
          <w:p w14:paraId="794BCD42">
            <w:pPr>
              <w:rPr>
                <w:kern w:val="0"/>
                <w:szCs w:val="21"/>
              </w:rPr>
            </w:pPr>
            <w:r>
              <w:rPr>
                <w:rFonts w:hint="eastAsia"/>
                <w:kern w:val="0"/>
                <w:szCs w:val="21"/>
              </w:rPr>
              <w:t>报告打印时能设置病例库对“阴阳性”“临床符合”“冰冻符合”进行检查，如果无内容不能打印。</w:t>
            </w:r>
          </w:p>
        </w:tc>
      </w:tr>
      <w:tr w14:paraId="6CFA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7D954567">
            <w:pPr>
              <w:numPr>
                <w:ilvl w:val="0"/>
                <w:numId w:val="1"/>
              </w:numPr>
              <w:jc w:val="center"/>
            </w:pPr>
          </w:p>
        </w:tc>
        <w:tc>
          <w:tcPr>
            <w:tcW w:w="1800" w:type="dxa"/>
            <w:vMerge w:val="continue"/>
            <w:vAlign w:val="center"/>
          </w:tcPr>
          <w:p w14:paraId="629484F7">
            <w:pPr>
              <w:jc w:val="center"/>
            </w:pPr>
          </w:p>
        </w:tc>
        <w:tc>
          <w:tcPr>
            <w:tcW w:w="6120" w:type="dxa"/>
            <w:vAlign w:val="center"/>
          </w:tcPr>
          <w:p w14:paraId="76BDDE01">
            <w:r>
              <w:rPr>
                <w:rFonts w:hint="eastAsia" w:ascii="宋体" w:hAnsi="宋体"/>
                <w:bCs/>
                <w:szCs w:val="21"/>
              </w:rPr>
              <w:t>病理诊断结果与性别冲突监控提示功能：如男性病例出现“宫颈、卵巢等”描述、女性病例出现“阴茎、睾丸等”描述时，系统自动进行弹框提醒。</w:t>
            </w:r>
          </w:p>
        </w:tc>
      </w:tr>
      <w:tr w14:paraId="14D2D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6C2D8C5B">
            <w:pPr>
              <w:numPr>
                <w:ilvl w:val="0"/>
                <w:numId w:val="1"/>
              </w:numPr>
              <w:jc w:val="center"/>
            </w:pPr>
          </w:p>
        </w:tc>
        <w:tc>
          <w:tcPr>
            <w:tcW w:w="1800" w:type="dxa"/>
            <w:vMerge w:val="continue"/>
            <w:vAlign w:val="center"/>
          </w:tcPr>
          <w:p w14:paraId="2A6E6530">
            <w:pPr>
              <w:jc w:val="center"/>
            </w:pPr>
          </w:p>
        </w:tc>
        <w:tc>
          <w:tcPr>
            <w:tcW w:w="6120" w:type="dxa"/>
            <w:vAlign w:val="center"/>
          </w:tcPr>
          <w:p w14:paraId="682CAC17">
            <w:r>
              <w:rPr>
                <w:rFonts w:hint="eastAsia"/>
              </w:rPr>
              <w:t>镜下所见及</w:t>
            </w:r>
            <w:r>
              <w:rPr>
                <w:rFonts w:hint="eastAsia" w:ascii="宋体" w:hAnsi="宋体"/>
                <w:bCs/>
                <w:szCs w:val="21"/>
              </w:rPr>
              <w:t>病理诊断结果与标本名称左右部位冲突监控提示功能：如标本名称为“左乳腺”，病理诊断中出现“右”，系统将自行弹框提醒。</w:t>
            </w:r>
          </w:p>
        </w:tc>
      </w:tr>
      <w:tr w14:paraId="1203F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7884733C">
            <w:pPr>
              <w:numPr>
                <w:ilvl w:val="0"/>
                <w:numId w:val="1"/>
              </w:numPr>
              <w:jc w:val="center"/>
            </w:pPr>
          </w:p>
        </w:tc>
        <w:tc>
          <w:tcPr>
            <w:tcW w:w="1800" w:type="dxa"/>
            <w:vMerge w:val="continue"/>
            <w:vAlign w:val="center"/>
          </w:tcPr>
          <w:p w14:paraId="0C45B531">
            <w:pPr>
              <w:jc w:val="center"/>
            </w:pPr>
          </w:p>
        </w:tc>
        <w:tc>
          <w:tcPr>
            <w:tcW w:w="6120" w:type="dxa"/>
            <w:vAlign w:val="center"/>
          </w:tcPr>
          <w:p w14:paraId="6944DDF5">
            <w:r>
              <w:rPr>
                <w:rFonts w:hint="eastAsia" w:ascii="宋体" w:hAnsi="宋体"/>
                <w:bCs/>
                <w:szCs w:val="21"/>
              </w:rPr>
              <w:t>病理诊断结果智能匹配提示功能：用户可自定义特殊词汇和相应提示内容，在病理诊断中出现这些词汇时，系统自动进行弹框提示。</w:t>
            </w:r>
          </w:p>
        </w:tc>
      </w:tr>
      <w:tr w14:paraId="7598E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3C8BF9D1">
            <w:pPr>
              <w:numPr>
                <w:ilvl w:val="0"/>
                <w:numId w:val="1"/>
              </w:numPr>
              <w:jc w:val="center"/>
            </w:pPr>
          </w:p>
        </w:tc>
        <w:tc>
          <w:tcPr>
            <w:tcW w:w="1800" w:type="dxa"/>
            <w:vMerge w:val="continue"/>
            <w:vAlign w:val="center"/>
          </w:tcPr>
          <w:p w14:paraId="60FBA0D7">
            <w:pPr>
              <w:jc w:val="center"/>
            </w:pPr>
          </w:p>
        </w:tc>
        <w:tc>
          <w:tcPr>
            <w:tcW w:w="6120" w:type="dxa"/>
            <w:vAlign w:val="center"/>
          </w:tcPr>
          <w:p w14:paraId="305630BF">
            <w:r>
              <w:rPr>
                <w:rFonts w:hint="eastAsia"/>
              </w:rPr>
              <w:t>病理诊断结果智能</w:t>
            </w:r>
            <w:r>
              <w:t>预警功能：如病理诊断出现</w:t>
            </w:r>
            <w:r>
              <w:rPr>
                <w:rFonts w:hint="eastAsia"/>
              </w:rPr>
              <w:t>“癌” “瘤”“阳性”，则字体</w:t>
            </w:r>
            <w:r>
              <w:t>将变红提醒。</w:t>
            </w:r>
          </w:p>
        </w:tc>
      </w:tr>
      <w:tr w14:paraId="36342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0588CFA3">
            <w:pPr>
              <w:numPr>
                <w:ilvl w:val="0"/>
                <w:numId w:val="1"/>
              </w:numPr>
              <w:jc w:val="center"/>
            </w:pPr>
          </w:p>
        </w:tc>
        <w:tc>
          <w:tcPr>
            <w:tcW w:w="1800" w:type="dxa"/>
            <w:vMerge w:val="continue"/>
            <w:vAlign w:val="center"/>
          </w:tcPr>
          <w:p w14:paraId="6C924228">
            <w:pPr>
              <w:jc w:val="center"/>
            </w:pPr>
          </w:p>
        </w:tc>
        <w:tc>
          <w:tcPr>
            <w:tcW w:w="6120" w:type="dxa"/>
            <w:vAlign w:val="center"/>
          </w:tcPr>
          <w:p w14:paraId="4200DD3C">
            <w:r>
              <w:rPr>
                <w:rFonts w:hint="eastAsia" w:ascii="宋体" w:hAnsi="宋体"/>
                <w:bCs/>
                <w:szCs w:val="21"/>
              </w:rPr>
              <w:t>在查看取材明细时，碰到任务来源是“冰冻”时，系统自动变为红色进行提示。</w:t>
            </w:r>
          </w:p>
        </w:tc>
      </w:tr>
      <w:tr w14:paraId="301A6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098CD69D">
            <w:pPr>
              <w:numPr>
                <w:ilvl w:val="0"/>
                <w:numId w:val="1"/>
              </w:numPr>
              <w:jc w:val="center"/>
            </w:pPr>
          </w:p>
        </w:tc>
        <w:tc>
          <w:tcPr>
            <w:tcW w:w="1800" w:type="dxa"/>
            <w:vMerge w:val="continue"/>
            <w:vAlign w:val="center"/>
          </w:tcPr>
          <w:p w14:paraId="7B11FCDA">
            <w:pPr>
              <w:jc w:val="center"/>
            </w:pPr>
          </w:p>
        </w:tc>
        <w:tc>
          <w:tcPr>
            <w:tcW w:w="6120" w:type="dxa"/>
            <w:vAlign w:val="center"/>
          </w:tcPr>
          <w:p w14:paraId="7C1E43C2">
            <w:r>
              <w:rPr>
                <w:rFonts w:hint="eastAsia"/>
              </w:rPr>
              <w:t>可进行报告质量的评价。</w:t>
            </w:r>
          </w:p>
        </w:tc>
      </w:tr>
      <w:tr w14:paraId="30935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7EF099FE">
            <w:pPr>
              <w:numPr>
                <w:ilvl w:val="0"/>
                <w:numId w:val="1"/>
              </w:numPr>
              <w:jc w:val="center"/>
            </w:pPr>
          </w:p>
        </w:tc>
        <w:tc>
          <w:tcPr>
            <w:tcW w:w="1800" w:type="dxa"/>
            <w:vMerge w:val="continue"/>
            <w:vAlign w:val="center"/>
          </w:tcPr>
          <w:p w14:paraId="6F5091EB">
            <w:pPr>
              <w:jc w:val="center"/>
            </w:pPr>
          </w:p>
        </w:tc>
        <w:tc>
          <w:tcPr>
            <w:tcW w:w="6120" w:type="dxa"/>
            <w:vAlign w:val="center"/>
          </w:tcPr>
          <w:p w14:paraId="00FACCE6">
            <w:pPr>
              <w:rPr>
                <w:szCs w:val="21"/>
              </w:rPr>
            </w:pPr>
            <w:r>
              <w:rPr>
                <w:rFonts w:hint="eastAsia" w:ascii="宋体" w:hAnsi="宋体"/>
                <w:bCs/>
                <w:szCs w:val="21"/>
              </w:rPr>
              <w:t>可发出内部医嘱要求，包括重切、深切、补取、免疫组化等，发出的内部医嘱在相应的工作站点上有相应提示，可查看内部医嘱相应的执行情况（医嘱状态）和结果。</w:t>
            </w:r>
          </w:p>
        </w:tc>
      </w:tr>
      <w:tr w14:paraId="7C064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1F57B5B7">
            <w:pPr>
              <w:numPr>
                <w:ilvl w:val="0"/>
                <w:numId w:val="1"/>
              </w:numPr>
              <w:jc w:val="center"/>
            </w:pPr>
          </w:p>
        </w:tc>
        <w:tc>
          <w:tcPr>
            <w:tcW w:w="1800" w:type="dxa"/>
            <w:vMerge w:val="continue"/>
            <w:vAlign w:val="center"/>
          </w:tcPr>
          <w:p w14:paraId="02E2FFCB">
            <w:pPr>
              <w:jc w:val="center"/>
            </w:pPr>
          </w:p>
        </w:tc>
        <w:tc>
          <w:tcPr>
            <w:tcW w:w="6120" w:type="dxa"/>
            <w:vAlign w:val="center"/>
          </w:tcPr>
          <w:p w14:paraId="597BC375">
            <w:pPr>
              <w:rPr>
                <w:rFonts w:hint="eastAsia" w:ascii="宋体" w:hAnsi="宋体"/>
                <w:bCs/>
                <w:szCs w:val="21"/>
              </w:rPr>
            </w:pPr>
            <w:r>
              <w:rPr>
                <w:rFonts w:hint="eastAsia" w:ascii="宋体" w:hAnsi="宋体"/>
                <w:szCs w:val="21"/>
              </w:rPr>
              <w:t>医生开技术医嘱时，可批量选择蜡块号，来进行批量重切或深切。</w:t>
            </w:r>
          </w:p>
        </w:tc>
      </w:tr>
      <w:tr w14:paraId="70C3F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17750ACB">
            <w:pPr>
              <w:numPr>
                <w:ilvl w:val="0"/>
                <w:numId w:val="1"/>
              </w:numPr>
              <w:jc w:val="center"/>
            </w:pPr>
          </w:p>
        </w:tc>
        <w:tc>
          <w:tcPr>
            <w:tcW w:w="1800" w:type="dxa"/>
            <w:vMerge w:val="continue"/>
            <w:vAlign w:val="center"/>
          </w:tcPr>
          <w:p w14:paraId="002BC26D">
            <w:pPr>
              <w:jc w:val="center"/>
            </w:pPr>
          </w:p>
        </w:tc>
        <w:tc>
          <w:tcPr>
            <w:tcW w:w="6120" w:type="dxa"/>
            <w:vAlign w:val="center"/>
          </w:tcPr>
          <w:p w14:paraId="29CE7750">
            <w:pPr>
              <w:rPr>
                <w:rFonts w:hint="eastAsia" w:ascii="宋体" w:hAnsi="宋体"/>
                <w:bCs/>
                <w:szCs w:val="21"/>
              </w:rPr>
            </w:pPr>
            <w:r>
              <w:rPr>
                <w:rFonts w:hint="eastAsia" w:ascii="宋体" w:hAnsi="宋体"/>
                <w:bCs/>
                <w:szCs w:val="21"/>
              </w:rPr>
              <w:t>提供免疫组化预开单及开单审核管理功能。</w:t>
            </w:r>
          </w:p>
        </w:tc>
      </w:tr>
      <w:tr w14:paraId="363C6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28BC9B58">
            <w:pPr>
              <w:numPr>
                <w:ilvl w:val="0"/>
                <w:numId w:val="1"/>
              </w:numPr>
              <w:jc w:val="center"/>
            </w:pPr>
          </w:p>
        </w:tc>
        <w:tc>
          <w:tcPr>
            <w:tcW w:w="1800" w:type="dxa"/>
            <w:vMerge w:val="continue"/>
            <w:vAlign w:val="center"/>
          </w:tcPr>
          <w:p w14:paraId="66A05A4E">
            <w:pPr>
              <w:jc w:val="center"/>
            </w:pPr>
          </w:p>
        </w:tc>
        <w:tc>
          <w:tcPr>
            <w:tcW w:w="6120" w:type="dxa"/>
            <w:vAlign w:val="center"/>
          </w:tcPr>
          <w:p w14:paraId="30B54C49">
            <w:pPr>
              <w:rPr>
                <w:rFonts w:hint="eastAsia" w:ascii="宋体" w:hAnsi="宋体"/>
                <w:bCs/>
                <w:szCs w:val="21"/>
              </w:rPr>
            </w:pPr>
            <w:r>
              <w:rPr>
                <w:rFonts w:hint="eastAsia" w:ascii="宋体" w:hAnsi="宋体"/>
                <w:bCs/>
                <w:szCs w:val="21"/>
              </w:rPr>
              <w:t>医生开免疫组化医嘱时，系统会自动匹配本科室已开展的标记物项目，</w:t>
            </w:r>
            <w:r>
              <w:rPr>
                <w:rFonts w:hint="eastAsia" w:ascii="宋体" w:hAnsi="宋体"/>
                <w:szCs w:val="21"/>
              </w:rPr>
              <w:t>如果无此标记物项目，则系统弹出相关提示并阻止开单。</w:t>
            </w:r>
          </w:p>
        </w:tc>
      </w:tr>
      <w:tr w14:paraId="2ECD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4543F3B3">
            <w:pPr>
              <w:numPr>
                <w:ilvl w:val="0"/>
                <w:numId w:val="1"/>
              </w:numPr>
              <w:jc w:val="center"/>
            </w:pPr>
          </w:p>
        </w:tc>
        <w:tc>
          <w:tcPr>
            <w:tcW w:w="1800" w:type="dxa"/>
            <w:vMerge w:val="continue"/>
            <w:vAlign w:val="center"/>
          </w:tcPr>
          <w:p w14:paraId="5AE8EC13">
            <w:pPr>
              <w:jc w:val="center"/>
            </w:pPr>
          </w:p>
        </w:tc>
        <w:tc>
          <w:tcPr>
            <w:tcW w:w="6120" w:type="dxa"/>
            <w:vAlign w:val="center"/>
          </w:tcPr>
          <w:p w14:paraId="34B56AC5">
            <w:r>
              <w:rPr>
                <w:rFonts w:hint="eastAsia"/>
              </w:rPr>
              <w:t>医生开特检医嘱时，系统需显示历史特检医嘱开单信息。</w:t>
            </w:r>
          </w:p>
        </w:tc>
      </w:tr>
      <w:tr w14:paraId="6C9F2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2C38D9DA">
            <w:pPr>
              <w:numPr>
                <w:ilvl w:val="0"/>
                <w:numId w:val="1"/>
              </w:numPr>
              <w:jc w:val="center"/>
            </w:pPr>
          </w:p>
        </w:tc>
        <w:tc>
          <w:tcPr>
            <w:tcW w:w="1800" w:type="dxa"/>
            <w:vMerge w:val="continue"/>
            <w:vAlign w:val="center"/>
          </w:tcPr>
          <w:p w14:paraId="1C0A3A91">
            <w:pPr>
              <w:jc w:val="center"/>
            </w:pPr>
          </w:p>
        </w:tc>
        <w:tc>
          <w:tcPr>
            <w:tcW w:w="6120" w:type="dxa"/>
            <w:vAlign w:val="center"/>
          </w:tcPr>
          <w:p w14:paraId="4F759342">
            <w:pPr>
              <w:rPr>
                <w:rFonts w:hint="eastAsia" w:ascii="宋体" w:hAnsi="宋体"/>
                <w:bCs/>
                <w:szCs w:val="21"/>
              </w:rPr>
            </w:pPr>
            <w:r>
              <w:rPr>
                <w:rFonts w:hint="eastAsia"/>
                <w:kern w:val="0"/>
                <w:szCs w:val="21"/>
              </w:rPr>
              <w:t>提供单独的特检医嘱查询列表，可按照医嘱类型、医嘱状态及申请医生来查找已开免疫组化医嘱的病例，从医嘱查询页双击病理号列或特检号列就能打开这一病例。</w:t>
            </w:r>
          </w:p>
        </w:tc>
      </w:tr>
      <w:tr w14:paraId="569E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30EF709E">
            <w:pPr>
              <w:numPr>
                <w:ilvl w:val="0"/>
                <w:numId w:val="1"/>
              </w:numPr>
              <w:jc w:val="center"/>
            </w:pPr>
          </w:p>
        </w:tc>
        <w:tc>
          <w:tcPr>
            <w:tcW w:w="1800" w:type="dxa"/>
            <w:vMerge w:val="continue"/>
            <w:vAlign w:val="center"/>
          </w:tcPr>
          <w:p w14:paraId="6CC01811">
            <w:pPr>
              <w:jc w:val="center"/>
            </w:pPr>
          </w:p>
        </w:tc>
        <w:tc>
          <w:tcPr>
            <w:tcW w:w="6120" w:type="dxa"/>
            <w:vAlign w:val="center"/>
          </w:tcPr>
          <w:p w14:paraId="206826A2">
            <w:pPr>
              <w:rPr>
                <w:rFonts w:hint="eastAsia" w:ascii="宋体" w:hAnsi="宋体"/>
                <w:bCs/>
                <w:szCs w:val="21"/>
              </w:rPr>
            </w:pPr>
            <w:r>
              <w:rPr>
                <w:rFonts w:hint="eastAsia" w:ascii="宋体" w:hAnsi="宋体"/>
                <w:bCs/>
                <w:szCs w:val="21"/>
              </w:rPr>
              <w:t>可将免疫组化结果快速导入到“特殊检查”“病理诊断”或“补充报告结果”中，导入时可自定义标记物排序。</w:t>
            </w:r>
          </w:p>
        </w:tc>
      </w:tr>
      <w:tr w14:paraId="51B46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2860632F">
            <w:pPr>
              <w:numPr>
                <w:ilvl w:val="0"/>
                <w:numId w:val="1"/>
              </w:numPr>
              <w:jc w:val="center"/>
            </w:pPr>
          </w:p>
        </w:tc>
        <w:tc>
          <w:tcPr>
            <w:tcW w:w="1800" w:type="dxa"/>
            <w:vMerge w:val="continue"/>
            <w:vAlign w:val="center"/>
          </w:tcPr>
          <w:p w14:paraId="14C9CCC8">
            <w:pPr>
              <w:jc w:val="center"/>
            </w:pPr>
          </w:p>
        </w:tc>
        <w:tc>
          <w:tcPr>
            <w:tcW w:w="6120" w:type="dxa"/>
            <w:vAlign w:val="center"/>
          </w:tcPr>
          <w:p w14:paraId="1CC1CBCE">
            <w:pPr>
              <w:rPr>
                <w:rFonts w:hint="eastAsia" w:ascii="宋体" w:hAnsi="宋体"/>
                <w:bCs/>
                <w:szCs w:val="21"/>
              </w:rPr>
            </w:pPr>
            <w:r>
              <w:rPr>
                <w:rFonts w:hint="eastAsia" w:ascii="宋体" w:hAnsi="宋体"/>
                <w:bCs/>
                <w:szCs w:val="21"/>
              </w:rPr>
              <w:t>提供同一病理号（或免疫号）不限次数的独立免疫组化补充报告，每一份免疫组化补充报告单独记录报告医生、审核医生、报告时间等项目，每一份免疫组化补充报告可单独进行审核并提供给临床进行查看。</w:t>
            </w:r>
          </w:p>
        </w:tc>
      </w:tr>
      <w:tr w14:paraId="506A0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11940E37">
            <w:pPr>
              <w:numPr>
                <w:ilvl w:val="0"/>
                <w:numId w:val="1"/>
              </w:numPr>
              <w:jc w:val="center"/>
            </w:pPr>
          </w:p>
        </w:tc>
        <w:tc>
          <w:tcPr>
            <w:tcW w:w="1800" w:type="dxa"/>
            <w:vMerge w:val="continue"/>
            <w:vAlign w:val="center"/>
          </w:tcPr>
          <w:p w14:paraId="77F20E32">
            <w:pPr>
              <w:jc w:val="center"/>
            </w:pPr>
          </w:p>
        </w:tc>
        <w:tc>
          <w:tcPr>
            <w:tcW w:w="6120" w:type="dxa"/>
            <w:vAlign w:val="center"/>
          </w:tcPr>
          <w:p w14:paraId="1C17998A">
            <w:pPr>
              <w:rPr>
                <w:rFonts w:hint="eastAsia" w:ascii="宋体" w:hAnsi="宋体"/>
                <w:bCs/>
                <w:szCs w:val="21"/>
              </w:rPr>
            </w:pPr>
            <w:r>
              <w:rPr>
                <w:rFonts w:hint="eastAsia" w:ascii="宋体" w:hAnsi="宋体"/>
                <w:bCs/>
                <w:szCs w:val="21"/>
              </w:rPr>
              <w:t>通过病例状态颜色来标记当前病例在病理科所处的流程状态，如“已登记”“已取材”“已包埋”“已制片”“已写报告”“已审核”等。</w:t>
            </w:r>
          </w:p>
        </w:tc>
      </w:tr>
      <w:tr w14:paraId="69996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0DFDFB23">
            <w:pPr>
              <w:numPr>
                <w:ilvl w:val="0"/>
                <w:numId w:val="1"/>
              </w:numPr>
              <w:jc w:val="center"/>
            </w:pPr>
          </w:p>
        </w:tc>
        <w:tc>
          <w:tcPr>
            <w:tcW w:w="1800" w:type="dxa"/>
            <w:vMerge w:val="continue"/>
            <w:vAlign w:val="center"/>
          </w:tcPr>
          <w:p w14:paraId="63982F6D">
            <w:pPr>
              <w:jc w:val="center"/>
            </w:pPr>
          </w:p>
        </w:tc>
        <w:tc>
          <w:tcPr>
            <w:tcW w:w="6120" w:type="dxa"/>
            <w:vAlign w:val="center"/>
          </w:tcPr>
          <w:p w14:paraId="60604DE6">
            <w:pPr>
              <w:rPr>
                <w:rFonts w:hint="eastAsia" w:ascii="宋体" w:hAnsi="宋体"/>
                <w:bCs/>
                <w:szCs w:val="21"/>
              </w:rPr>
            </w:pPr>
            <w:r>
              <w:rPr>
                <w:rFonts w:hint="eastAsia" w:ascii="宋体" w:hAnsi="宋体"/>
                <w:bCs/>
                <w:szCs w:val="21"/>
              </w:rPr>
              <w:t>提供报告应发时间管理，用户可自定义不同标本类型对应的报告应发时间，并能自定义接收标本时间分隔点。系统采用特殊颜色来标记“最后一天”“报告超期”“报告延期”等报告发放时间状态。</w:t>
            </w:r>
          </w:p>
        </w:tc>
      </w:tr>
      <w:tr w14:paraId="2481B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3C1AB015">
            <w:pPr>
              <w:numPr>
                <w:ilvl w:val="0"/>
                <w:numId w:val="1"/>
              </w:numPr>
              <w:jc w:val="center"/>
            </w:pPr>
          </w:p>
        </w:tc>
        <w:tc>
          <w:tcPr>
            <w:tcW w:w="1800" w:type="dxa"/>
            <w:vMerge w:val="continue"/>
            <w:vAlign w:val="center"/>
          </w:tcPr>
          <w:p w14:paraId="66E1F6CF">
            <w:pPr>
              <w:jc w:val="center"/>
            </w:pPr>
          </w:p>
        </w:tc>
        <w:tc>
          <w:tcPr>
            <w:tcW w:w="6120" w:type="dxa"/>
            <w:vAlign w:val="center"/>
          </w:tcPr>
          <w:p w14:paraId="05C65398">
            <w:pPr>
              <w:rPr>
                <w:rFonts w:hint="eastAsia" w:ascii="宋体" w:hAnsi="宋体"/>
                <w:bCs/>
                <w:szCs w:val="21"/>
              </w:rPr>
            </w:pPr>
            <w:r>
              <w:rPr>
                <w:rFonts w:hint="eastAsia" w:ascii="宋体" w:hAnsi="宋体"/>
                <w:bCs/>
                <w:szCs w:val="21"/>
              </w:rPr>
              <w:t>开免疫组化等内部医嘱时可指定系统进行报告发放时间到期提醒，同时可打印“缓发报告通知单”。</w:t>
            </w:r>
          </w:p>
        </w:tc>
      </w:tr>
      <w:tr w14:paraId="71BE7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1ECB5CD1">
            <w:pPr>
              <w:numPr>
                <w:ilvl w:val="0"/>
                <w:numId w:val="1"/>
              </w:numPr>
              <w:jc w:val="center"/>
            </w:pPr>
          </w:p>
        </w:tc>
        <w:tc>
          <w:tcPr>
            <w:tcW w:w="1800" w:type="dxa"/>
            <w:vMerge w:val="continue"/>
            <w:vAlign w:val="center"/>
          </w:tcPr>
          <w:p w14:paraId="7AB489D3">
            <w:pPr>
              <w:jc w:val="center"/>
            </w:pPr>
          </w:p>
        </w:tc>
        <w:tc>
          <w:tcPr>
            <w:tcW w:w="6120" w:type="dxa"/>
            <w:vAlign w:val="center"/>
          </w:tcPr>
          <w:p w14:paraId="7B1863ED">
            <w:pPr>
              <w:rPr>
                <w:rFonts w:hint="eastAsia" w:ascii="宋体" w:hAnsi="宋体"/>
                <w:bCs/>
                <w:szCs w:val="21"/>
              </w:rPr>
            </w:pPr>
            <w:r>
              <w:rPr>
                <w:rFonts w:hint="eastAsia" w:ascii="宋体" w:hAnsi="宋体"/>
                <w:bCs/>
                <w:szCs w:val="21"/>
              </w:rPr>
              <w:t>内部医嘱状态可自动关联到“缓发报告原因”，并提供给临床进行查看。</w:t>
            </w:r>
          </w:p>
        </w:tc>
      </w:tr>
      <w:tr w14:paraId="70183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335F0CCA">
            <w:pPr>
              <w:numPr>
                <w:ilvl w:val="0"/>
                <w:numId w:val="1"/>
              </w:numPr>
              <w:jc w:val="center"/>
            </w:pPr>
          </w:p>
        </w:tc>
        <w:tc>
          <w:tcPr>
            <w:tcW w:w="1800" w:type="dxa"/>
            <w:vMerge w:val="continue"/>
            <w:vAlign w:val="center"/>
          </w:tcPr>
          <w:p w14:paraId="607A7706">
            <w:pPr>
              <w:jc w:val="center"/>
            </w:pPr>
          </w:p>
        </w:tc>
        <w:tc>
          <w:tcPr>
            <w:tcW w:w="6120" w:type="dxa"/>
            <w:vAlign w:val="center"/>
          </w:tcPr>
          <w:p w14:paraId="5535129F">
            <w:pPr>
              <w:rPr>
                <w:rFonts w:hint="eastAsia" w:ascii="宋体" w:hAnsi="宋体"/>
                <w:bCs/>
                <w:szCs w:val="21"/>
              </w:rPr>
            </w:pPr>
            <w:r>
              <w:rPr>
                <w:rFonts w:hint="eastAsia" w:ascii="宋体" w:hAnsi="宋体"/>
                <w:bCs/>
                <w:szCs w:val="21"/>
              </w:rPr>
              <w:t>提供常规免疫组化和鉴别诊断类免疫组化自动关联“缓发报告原因”的差异化处理。</w:t>
            </w:r>
          </w:p>
        </w:tc>
      </w:tr>
      <w:tr w14:paraId="1FFD3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6C1FA05B">
            <w:pPr>
              <w:numPr>
                <w:ilvl w:val="0"/>
                <w:numId w:val="1"/>
              </w:numPr>
              <w:jc w:val="center"/>
            </w:pPr>
          </w:p>
        </w:tc>
        <w:tc>
          <w:tcPr>
            <w:tcW w:w="1800" w:type="dxa"/>
            <w:vMerge w:val="continue"/>
            <w:vAlign w:val="center"/>
          </w:tcPr>
          <w:p w14:paraId="1457BA92">
            <w:pPr>
              <w:jc w:val="center"/>
            </w:pPr>
          </w:p>
        </w:tc>
        <w:tc>
          <w:tcPr>
            <w:tcW w:w="6120" w:type="dxa"/>
            <w:vAlign w:val="center"/>
          </w:tcPr>
          <w:p w14:paraId="049D4218">
            <w:pPr>
              <w:rPr>
                <w:rFonts w:hint="eastAsia" w:ascii="宋体" w:hAnsi="宋体"/>
                <w:bCs/>
                <w:szCs w:val="21"/>
              </w:rPr>
            </w:pPr>
            <w:r>
              <w:rPr>
                <w:rFonts w:hint="eastAsia" w:ascii="宋体" w:hAnsi="宋体"/>
                <w:bCs/>
                <w:szCs w:val="21"/>
              </w:rPr>
              <w:t>提供病理报告审核后的“犹豫期”自定义设定，并可自定义设定临床查看审核后的病理报告的“缓冲期”。</w:t>
            </w:r>
          </w:p>
        </w:tc>
      </w:tr>
      <w:tr w14:paraId="4FD9B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505B7647">
            <w:pPr>
              <w:numPr>
                <w:ilvl w:val="0"/>
                <w:numId w:val="1"/>
              </w:numPr>
              <w:jc w:val="center"/>
            </w:pPr>
          </w:p>
        </w:tc>
        <w:tc>
          <w:tcPr>
            <w:tcW w:w="1800" w:type="dxa"/>
            <w:vMerge w:val="continue"/>
            <w:vAlign w:val="center"/>
          </w:tcPr>
          <w:p w14:paraId="5FD566CB">
            <w:pPr>
              <w:jc w:val="center"/>
            </w:pPr>
          </w:p>
        </w:tc>
        <w:tc>
          <w:tcPr>
            <w:tcW w:w="6120" w:type="dxa"/>
            <w:vAlign w:val="center"/>
          </w:tcPr>
          <w:p w14:paraId="18D57442">
            <w:pPr>
              <w:rPr>
                <w:szCs w:val="21"/>
              </w:rPr>
            </w:pPr>
            <w:r>
              <w:rPr>
                <w:rFonts w:hint="eastAsia" w:ascii="宋体" w:hAnsi="宋体"/>
                <w:bCs/>
                <w:szCs w:val="21"/>
              </w:rPr>
              <w:t>可发出科内会诊申请，系统会自动加入“科内会诊”列表并进行提示，其他医生登录系统后可以快速定位这些会诊病例，可增加、修改、删除自己的科内会诊意见。</w:t>
            </w:r>
          </w:p>
        </w:tc>
      </w:tr>
      <w:tr w14:paraId="385A7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6EDF43F9">
            <w:pPr>
              <w:numPr>
                <w:ilvl w:val="0"/>
                <w:numId w:val="1"/>
              </w:numPr>
              <w:jc w:val="center"/>
            </w:pPr>
          </w:p>
        </w:tc>
        <w:tc>
          <w:tcPr>
            <w:tcW w:w="1800" w:type="dxa"/>
            <w:vMerge w:val="continue"/>
            <w:vAlign w:val="center"/>
          </w:tcPr>
          <w:p w14:paraId="063FA5F1">
            <w:pPr>
              <w:jc w:val="center"/>
            </w:pPr>
          </w:p>
        </w:tc>
        <w:tc>
          <w:tcPr>
            <w:tcW w:w="6120" w:type="dxa"/>
            <w:vAlign w:val="center"/>
          </w:tcPr>
          <w:p w14:paraId="52CDB30A">
            <w:pPr>
              <w:rPr>
                <w:szCs w:val="21"/>
              </w:rPr>
            </w:pPr>
            <w:r>
              <w:rPr>
                <w:rFonts w:hint="eastAsia" w:ascii="宋体" w:hAnsi="宋体"/>
                <w:bCs/>
                <w:szCs w:val="21"/>
              </w:rPr>
              <w:t>可对病例进行随访标记，系统会自动加入“需随访病例”列表并进行提示，可录入并保存随访结果，并可继续随访或结束随访。</w:t>
            </w:r>
          </w:p>
        </w:tc>
      </w:tr>
      <w:tr w14:paraId="38337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00D7553E">
            <w:pPr>
              <w:numPr>
                <w:ilvl w:val="0"/>
                <w:numId w:val="1"/>
              </w:numPr>
              <w:jc w:val="center"/>
            </w:pPr>
          </w:p>
        </w:tc>
        <w:tc>
          <w:tcPr>
            <w:tcW w:w="1800" w:type="dxa"/>
            <w:vMerge w:val="continue"/>
            <w:vAlign w:val="center"/>
          </w:tcPr>
          <w:p w14:paraId="5FEDD52F">
            <w:pPr>
              <w:jc w:val="center"/>
            </w:pPr>
          </w:p>
        </w:tc>
        <w:tc>
          <w:tcPr>
            <w:tcW w:w="6120" w:type="dxa"/>
            <w:vAlign w:val="center"/>
          </w:tcPr>
          <w:p w14:paraId="4218459D">
            <w:pPr>
              <w:rPr>
                <w:szCs w:val="21"/>
              </w:rPr>
            </w:pPr>
            <w:r>
              <w:rPr>
                <w:rFonts w:hint="eastAsia" w:ascii="宋体" w:hAnsi="宋体"/>
                <w:bCs/>
                <w:szCs w:val="21"/>
              </w:rPr>
              <w:t>可对感兴趣的病例进行自定义收藏分类管理，系统会自动加入到“我的收藏夹”列表并进行提示，医生可以导出自己的收藏夹病例列表。</w:t>
            </w:r>
          </w:p>
        </w:tc>
      </w:tr>
      <w:tr w14:paraId="24C03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2AB55841">
            <w:pPr>
              <w:numPr>
                <w:ilvl w:val="0"/>
                <w:numId w:val="1"/>
              </w:numPr>
              <w:jc w:val="center"/>
            </w:pPr>
          </w:p>
        </w:tc>
        <w:tc>
          <w:tcPr>
            <w:tcW w:w="1800" w:type="dxa"/>
            <w:vMerge w:val="continue"/>
            <w:vAlign w:val="center"/>
          </w:tcPr>
          <w:p w14:paraId="0A0771A2">
            <w:pPr>
              <w:jc w:val="center"/>
            </w:pPr>
          </w:p>
        </w:tc>
        <w:tc>
          <w:tcPr>
            <w:tcW w:w="6120" w:type="dxa"/>
            <w:vAlign w:val="center"/>
          </w:tcPr>
          <w:p w14:paraId="5A9F1A48">
            <w:pPr>
              <w:rPr>
                <w:rFonts w:hint="eastAsia" w:ascii="宋体" w:hAnsi="宋体"/>
                <w:bCs/>
                <w:szCs w:val="21"/>
              </w:rPr>
            </w:pPr>
            <w:r>
              <w:rPr>
                <w:rFonts w:hint="eastAsia"/>
              </w:rPr>
              <w:t>可根据多个条件来组合查询或统计病例、可进行模糊查询或精确查询。可提供“拼音码”来查询姓名。查询或统计出的结果可以导出为EXCEL文件，用户可自定义导出项目字段。可控制每个医生病理报告的查询天数。</w:t>
            </w:r>
          </w:p>
        </w:tc>
      </w:tr>
      <w:tr w14:paraId="6822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7C5CF829">
            <w:pPr>
              <w:numPr>
                <w:ilvl w:val="0"/>
                <w:numId w:val="1"/>
              </w:numPr>
              <w:jc w:val="center"/>
            </w:pPr>
          </w:p>
        </w:tc>
        <w:tc>
          <w:tcPr>
            <w:tcW w:w="1800" w:type="dxa"/>
            <w:vMerge w:val="continue"/>
            <w:vAlign w:val="center"/>
          </w:tcPr>
          <w:p w14:paraId="15A9438B">
            <w:pPr>
              <w:jc w:val="center"/>
            </w:pPr>
          </w:p>
        </w:tc>
        <w:tc>
          <w:tcPr>
            <w:tcW w:w="6120" w:type="dxa"/>
            <w:vAlign w:val="center"/>
          </w:tcPr>
          <w:p w14:paraId="1990EEB6">
            <w:r>
              <w:rPr>
                <w:rFonts w:hint="eastAsia"/>
              </w:rPr>
              <w:t>提供按照“部位”“病名”关键词区分的疾病索引管理，并进行精确的疾病种类统计。</w:t>
            </w:r>
          </w:p>
        </w:tc>
      </w:tr>
      <w:tr w14:paraId="165A1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0BBB506C">
            <w:pPr>
              <w:numPr>
                <w:ilvl w:val="0"/>
                <w:numId w:val="1"/>
              </w:numPr>
              <w:jc w:val="center"/>
            </w:pPr>
          </w:p>
        </w:tc>
        <w:tc>
          <w:tcPr>
            <w:tcW w:w="1800" w:type="dxa"/>
            <w:vMerge w:val="continue"/>
            <w:vAlign w:val="center"/>
          </w:tcPr>
          <w:p w14:paraId="2C08E90C">
            <w:pPr>
              <w:jc w:val="center"/>
            </w:pPr>
          </w:p>
        </w:tc>
        <w:tc>
          <w:tcPr>
            <w:tcW w:w="6120" w:type="dxa"/>
            <w:vAlign w:val="center"/>
          </w:tcPr>
          <w:p w14:paraId="6CE13278">
            <w:r>
              <w:rPr>
                <w:rFonts w:hint="eastAsia"/>
              </w:rPr>
              <w:t>提供多种病理科工作量统计报表，包括医生工作量、技师工作量、科室工作量、技术医嘱工作量、特检医嘱工作量、临床送检工作量、外院送检工作量等。</w:t>
            </w:r>
          </w:p>
        </w:tc>
      </w:tr>
      <w:tr w14:paraId="58FF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1A85BF00">
            <w:pPr>
              <w:numPr>
                <w:ilvl w:val="0"/>
                <w:numId w:val="1"/>
              </w:numPr>
              <w:jc w:val="center"/>
            </w:pPr>
          </w:p>
        </w:tc>
        <w:tc>
          <w:tcPr>
            <w:tcW w:w="1800" w:type="dxa"/>
            <w:vMerge w:val="continue"/>
            <w:vAlign w:val="center"/>
          </w:tcPr>
          <w:p w14:paraId="17FD28B0">
            <w:pPr>
              <w:jc w:val="center"/>
            </w:pPr>
          </w:p>
        </w:tc>
        <w:tc>
          <w:tcPr>
            <w:tcW w:w="6120" w:type="dxa"/>
            <w:vAlign w:val="center"/>
          </w:tcPr>
          <w:p w14:paraId="660E9890">
            <w:r>
              <w:rPr>
                <w:rFonts w:hint="eastAsia"/>
              </w:rPr>
              <w:t>提供多种符合率统计报表，包括冰冻诊断符合率、临床诊断符合率、会诊符合率等。</w:t>
            </w:r>
          </w:p>
        </w:tc>
      </w:tr>
      <w:tr w14:paraId="5FE1B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67AC1D41">
            <w:pPr>
              <w:numPr>
                <w:ilvl w:val="0"/>
                <w:numId w:val="1"/>
              </w:numPr>
              <w:jc w:val="center"/>
            </w:pPr>
          </w:p>
        </w:tc>
        <w:tc>
          <w:tcPr>
            <w:tcW w:w="1800" w:type="dxa"/>
            <w:vMerge w:val="continue"/>
            <w:vAlign w:val="center"/>
          </w:tcPr>
          <w:p w14:paraId="50EB2CF7">
            <w:pPr>
              <w:jc w:val="center"/>
            </w:pPr>
          </w:p>
        </w:tc>
        <w:tc>
          <w:tcPr>
            <w:tcW w:w="6120" w:type="dxa"/>
            <w:vAlign w:val="center"/>
          </w:tcPr>
          <w:p w14:paraId="6928DE36">
            <w:r>
              <w:rPr>
                <w:rFonts w:hint="eastAsia"/>
              </w:rPr>
              <w:t>提供多种报告时间统计报表，包括冰冻报告发放时间统计、报告发放及时率的统计、未发报告统计、超期报告统计、报告实际发放天数统计、报告实际发放天数汇总。</w:t>
            </w:r>
          </w:p>
        </w:tc>
      </w:tr>
      <w:tr w14:paraId="33FA8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7283CFBA">
            <w:pPr>
              <w:numPr>
                <w:ilvl w:val="0"/>
                <w:numId w:val="1"/>
              </w:numPr>
              <w:jc w:val="center"/>
            </w:pPr>
          </w:p>
        </w:tc>
        <w:tc>
          <w:tcPr>
            <w:tcW w:w="1800" w:type="dxa"/>
            <w:vMerge w:val="continue"/>
            <w:vAlign w:val="center"/>
          </w:tcPr>
          <w:p w14:paraId="45C4F806">
            <w:pPr>
              <w:jc w:val="center"/>
            </w:pPr>
          </w:p>
        </w:tc>
        <w:tc>
          <w:tcPr>
            <w:tcW w:w="6120" w:type="dxa"/>
            <w:vAlign w:val="center"/>
          </w:tcPr>
          <w:p w14:paraId="306BD5EC">
            <w:pPr>
              <w:rPr>
                <w:szCs w:val="21"/>
              </w:rPr>
            </w:pPr>
            <w:r>
              <w:rPr>
                <w:rFonts w:hint="eastAsia"/>
                <w:szCs w:val="21"/>
              </w:rPr>
              <w:t>提供同一病人的“小标本—大标本”或“细胞学—常规”诊断对照功能，并能导出为EXCEL文件。</w:t>
            </w:r>
          </w:p>
        </w:tc>
      </w:tr>
      <w:tr w14:paraId="110D4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2E0444DD">
            <w:pPr>
              <w:numPr>
                <w:ilvl w:val="0"/>
                <w:numId w:val="1"/>
              </w:numPr>
              <w:jc w:val="center"/>
            </w:pPr>
          </w:p>
        </w:tc>
        <w:tc>
          <w:tcPr>
            <w:tcW w:w="1800" w:type="dxa"/>
            <w:vMerge w:val="continue"/>
            <w:vAlign w:val="center"/>
          </w:tcPr>
          <w:p w14:paraId="74D29604">
            <w:pPr>
              <w:jc w:val="center"/>
            </w:pPr>
          </w:p>
        </w:tc>
        <w:tc>
          <w:tcPr>
            <w:tcW w:w="6120" w:type="dxa"/>
            <w:vAlign w:val="center"/>
          </w:tcPr>
          <w:p w14:paraId="4DD21F73">
            <w:r>
              <w:rPr>
                <w:rFonts w:hint="eastAsia"/>
              </w:rPr>
              <w:t>提供报告格式自动扩页功能，以适应内容较多的病理报告或尸检病理报告。</w:t>
            </w:r>
          </w:p>
        </w:tc>
      </w:tr>
      <w:tr w14:paraId="5E974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46360C48">
            <w:pPr>
              <w:numPr>
                <w:ilvl w:val="0"/>
                <w:numId w:val="1"/>
              </w:numPr>
              <w:jc w:val="center"/>
            </w:pPr>
          </w:p>
        </w:tc>
        <w:tc>
          <w:tcPr>
            <w:tcW w:w="1800" w:type="dxa"/>
            <w:vMerge w:val="continue"/>
            <w:vAlign w:val="center"/>
          </w:tcPr>
          <w:p w14:paraId="2281F0DD">
            <w:pPr>
              <w:jc w:val="center"/>
            </w:pPr>
          </w:p>
        </w:tc>
        <w:tc>
          <w:tcPr>
            <w:tcW w:w="6120" w:type="dxa"/>
            <w:vAlign w:val="center"/>
          </w:tcPr>
          <w:p w14:paraId="6E02056E">
            <w:pPr>
              <w:rPr>
                <w:rFonts w:hint="eastAsia" w:ascii="宋体" w:hAnsi="宋体"/>
                <w:bCs/>
                <w:szCs w:val="21"/>
              </w:rPr>
            </w:pPr>
            <w:r>
              <w:rPr>
                <w:rFonts w:hint="eastAsia" w:ascii="宋体" w:hAnsi="宋体"/>
                <w:bCs/>
                <w:szCs w:val="21"/>
              </w:rPr>
              <w:t>提供用户分级权限体系，适应病理科不同级别的医生相互之间的报告修改、审核的权限嵌套关系。</w:t>
            </w:r>
          </w:p>
        </w:tc>
      </w:tr>
      <w:tr w14:paraId="42F1A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6BAC2AB2">
            <w:pPr>
              <w:numPr>
                <w:ilvl w:val="0"/>
                <w:numId w:val="1"/>
              </w:numPr>
              <w:jc w:val="center"/>
            </w:pPr>
          </w:p>
        </w:tc>
        <w:tc>
          <w:tcPr>
            <w:tcW w:w="1800" w:type="dxa"/>
            <w:vMerge w:val="continue"/>
            <w:vAlign w:val="center"/>
          </w:tcPr>
          <w:p w14:paraId="46EED637">
            <w:pPr>
              <w:jc w:val="center"/>
            </w:pPr>
          </w:p>
        </w:tc>
        <w:tc>
          <w:tcPr>
            <w:tcW w:w="6120" w:type="dxa"/>
            <w:vAlign w:val="center"/>
          </w:tcPr>
          <w:p w14:paraId="539CD704">
            <w:pPr>
              <w:rPr>
                <w:rFonts w:hint="eastAsia" w:ascii="宋体" w:hAnsi="宋体"/>
                <w:bCs/>
                <w:szCs w:val="21"/>
              </w:rPr>
            </w:pPr>
            <w:r>
              <w:rPr>
                <w:rFonts w:hint="eastAsia" w:ascii="宋体" w:hAnsi="宋体"/>
                <w:bCs/>
                <w:szCs w:val="21"/>
              </w:rPr>
              <w:t>提供每日病理报告签收单管理，通过扫描病理报告单上的条码，自动按照“病区”或“送检科室”排序整理报告签收单进行打印，用于临床接收病理报告后签字返回病理科进行存档。</w:t>
            </w:r>
          </w:p>
        </w:tc>
      </w:tr>
      <w:tr w14:paraId="1FB44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4BE91702">
            <w:pPr>
              <w:numPr>
                <w:ilvl w:val="0"/>
                <w:numId w:val="1"/>
              </w:numPr>
              <w:jc w:val="center"/>
            </w:pPr>
          </w:p>
        </w:tc>
        <w:tc>
          <w:tcPr>
            <w:tcW w:w="1800" w:type="dxa"/>
            <w:vMerge w:val="continue"/>
            <w:vAlign w:val="center"/>
          </w:tcPr>
          <w:p w14:paraId="48247BF2">
            <w:pPr>
              <w:jc w:val="center"/>
            </w:pPr>
          </w:p>
        </w:tc>
        <w:tc>
          <w:tcPr>
            <w:tcW w:w="6120" w:type="dxa"/>
            <w:vAlign w:val="center"/>
          </w:tcPr>
          <w:p w14:paraId="3AB3D30C">
            <w:r>
              <w:rPr>
                <w:rFonts w:hint="eastAsia" w:ascii="宋体" w:hAnsi="宋体"/>
                <w:bCs/>
                <w:szCs w:val="21"/>
              </w:rPr>
              <w:t>重要报告痕迹后台记录和溯源查询功能。</w:t>
            </w:r>
          </w:p>
        </w:tc>
      </w:tr>
      <w:tr w14:paraId="6891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vAlign w:val="center"/>
          </w:tcPr>
          <w:p w14:paraId="026E9B66">
            <w:pPr>
              <w:numPr>
                <w:ilvl w:val="0"/>
                <w:numId w:val="1"/>
              </w:numPr>
              <w:jc w:val="center"/>
            </w:pPr>
          </w:p>
        </w:tc>
        <w:tc>
          <w:tcPr>
            <w:tcW w:w="1800" w:type="dxa"/>
            <w:vMerge w:val="restart"/>
            <w:vAlign w:val="center"/>
          </w:tcPr>
          <w:p w14:paraId="684C4190">
            <w:pPr>
              <w:jc w:val="center"/>
            </w:pPr>
            <w:r>
              <w:rPr>
                <w:rFonts w:hint="eastAsia"/>
              </w:rPr>
              <w:t>特检工作站软件</w:t>
            </w:r>
          </w:p>
          <w:p w14:paraId="507C2348">
            <w:pPr>
              <w:jc w:val="center"/>
            </w:pPr>
            <w:r>
              <w:rPr>
                <w:rFonts w:hint="eastAsia"/>
              </w:rPr>
              <w:t>1套</w:t>
            </w:r>
          </w:p>
        </w:tc>
        <w:tc>
          <w:tcPr>
            <w:tcW w:w="6120" w:type="dxa"/>
            <w:vAlign w:val="center"/>
          </w:tcPr>
          <w:p w14:paraId="45625633">
            <w:pPr>
              <w:rPr>
                <w:szCs w:val="21"/>
              </w:rPr>
            </w:pPr>
            <w:r>
              <w:rPr>
                <w:rFonts w:hint="eastAsia" w:ascii="宋体" w:hAnsi="宋体"/>
                <w:bCs/>
                <w:szCs w:val="21"/>
              </w:rPr>
              <w:t>系统自动提示已发出特检医嘱（免疫组化、特殊染色、分子病理等）要求但尚未执行的病例信息列表。</w:t>
            </w:r>
          </w:p>
        </w:tc>
      </w:tr>
      <w:tr w14:paraId="52FEB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3AE2C916">
            <w:pPr>
              <w:numPr>
                <w:ilvl w:val="0"/>
                <w:numId w:val="1"/>
              </w:numPr>
              <w:jc w:val="center"/>
            </w:pPr>
          </w:p>
        </w:tc>
        <w:tc>
          <w:tcPr>
            <w:tcW w:w="1800" w:type="dxa"/>
            <w:vMerge w:val="continue"/>
            <w:vAlign w:val="center"/>
          </w:tcPr>
          <w:p w14:paraId="29492D9B">
            <w:pPr>
              <w:jc w:val="center"/>
            </w:pPr>
          </w:p>
        </w:tc>
        <w:tc>
          <w:tcPr>
            <w:tcW w:w="6120" w:type="dxa"/>
            <w:vAlign w:val="center"/>
          </w:tcPr>
          <w:p w14:paraId="77675A43">
            <w:pPr>
              <w:rPr>
                <w:rFonts w:hint="eastAsia" w:ascii="宋体" w:hAnsi="宋体"/>
                <w:bCs/>
                <w:szCs w:val="21"/>
              </w:rPr>
            </w:pPr>
            <w:r>
              <w:rPr>
                <w:rFonts w:hint="eastAsia" w:ascii="宋体" w:hAnsi="宋体"/>
                <w:bCs/>
                <w:szCs w:val="21"/>
              </w:rPr>
              <w:t>同一病理号开出的特检医嘱，碰到不同蜡块号或不同开单时间时，系统自动变为黄色进行提示。</w:t>
            </w:r>
          </w:p>
        </w:tc>
      </w:tr>
      <w:tr w14:paraId="7406A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11A8116A">
            <w:pPr>
              <w:numPr>
                <w:ilvl w:val="0"/>
                <w:numId w:val="1"/>
              </w:numPr>
              <w:jc w:val="center"/>
            </w:pPr>
          </w:p>
        </w:tc>
        <w:tc>
          <w:tcPr>
            <w:tcW w:w="1800" w:type="dxa"/>
            <w:vMerge w:val="continue"/>
            <w:vAlign w:val="center"/>
          </w:tcPr>
          <w:p w14:paraId="77B0D9FC">
            <w:pPr>
              <w:jc w:val="center"/>
            </w:pPr>
          </w:p>
        </w:tc>
        <w:tc>
          <w:tcPr>
            <w:tcW w:w="6120" w:type="dxa"/>
            <w:vAlign w:val="center"/>
          </w:tcPr>
          <w:p w14:paraId="56A78784">
            <w:pPr>
              <w:rPr>
                <w:szCs w:val="21"/>
              </w:rPr>
            </w:pPr>
            <w:r>
              <w:rPr>
                <w:rFonts w:hint="eastAsia" w:ascii="宋体" w:hAnsi="宋体"/>
                <w:bCs/>
                <w:szCs w:val="21"/>
              </w:rPr>
              <w:t>可从特检医嘱信息中提取病例信息、标记物名称等内容，来自动生成免疫组化切片等切片条码标签，并打印出来。</w:t>
            </w:r>
          </w:p>
        </w:tc>
      </w:tr>
      <w:tr w14:paraId="37F21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3F30F8A4">
            <w:pPr>
              <w:numPr>
                <w:ilvl w:val="0"/>
                <w:numId w:val="1"/>
              </w:numPr>
              <w:jc w:val="center"/>
            </w:pPr>
          </w:p>
        </w:tc>
        <w:tc>
          <w:tcPr>
            <w:tcW w:w="1800" w:type="dxa"/>
            <w:vMerge w:val="continue"/>
            <w:vAlign w:val="center"/>
          </w:tcPr>
          <w:p w14:paraId="54BF929B">
            <w:pPr>
              <w:jc w:val="center"/>
            </w:pPr>
          </w:p>
        </w:tc>
        <w:tc>
          <w:tcPr>
            <w:tcW w:w="6120" w:type="dxa"/>
            <w:vAlign w:val="center"/>
          </w:tcPr>
          <w:p w14:paraId="546814C8">
            <w:pPr>
              <w:rPr>
                <w:rFonts w:hint="eastAsia" w:ascii="宋体" w:hAnsi="宋体"/>
                <w:bCs/>
                <w:szCs w:val="21"/>
              </w:rPr>
            </w:pPr>
            <w:r>
              <w:rPr>
                <w:rFonts w:hint="eastAsia" w:ascii="宋体" w:hAnsi="宋体"/>
                <w:bCs/>
                <w:szCs w:val="21"/>
              </w:rPr>
              <w:t>可按照标记物或病理号分类来打印染色工作表。</w:t>
            </w:r>
          </w:p>
        </w:tc>
      </w:tr>
      <w:tr w14:paraId="41C91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5DCE9260">
            <w:pPr>
              <w:numPr>
                <w:ilvl w:val="0"/>
                <w:numId w:val="1"/>
              </w:numPr>
              <w:jc w:val="center"/>
            </w:pPr>
          </w:p>
        </w:tc>
        <w:tc>
          <w:tcPr>
            <w:tcW w:w="1800" w:type="dxa"/>
            <w:vMerge w:val="continue"/>
            <w:vAlign w:val="center"/>
          </w:tcPr>
          <w:p w14:paraId="58D258FF">
            <w:pPr>
              <w:jc w:val="center"/>
            </w:pPr>
          </w:p>
        </w:tc>
        <w:tc>
          <w:tcPr>
            <w:tcW w:w="6120" w:type="dxa"/>
            <w:vAlign w:val="center"/>
          </w:tcPr>
          <w:p w14:paraId="18AD0C99">
            <w:pPr>
              <w:rPr>
                <w:szCs w:val="21"/>
              </w:rPr>
            </w:pPr>
            <w:r>
              <w:rPr>
                <w:rFonts w:hint="eastAsia"/>
                <w:szCs w:val="21"/>
              </w:rPr>
              <w:t>有暂缓执行项目时，医嘱列表的“暂缓执行”按钮需变为红色进行提醒。</w:t>
            </w:r>
          </w:p>
        </w:tc>
      </w:tr>
      <w:tr w14:paraId="43E7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vAlign w:val="center"/>
          </w:tcPr>
          <w:p w14:paraId="1BBA90B0">
            <w:pPr>
              <w:numPr>
                <w:ilvl w:val="0"/>
                <w:numId w:val="1"/>
              </w:numPr>
              <w:jc w:val="center"/>
            </w:pPr>
          </w:p>
        </w:tc>
        <w:tc>
          <w:tcPr>
            <w:tcW w:w="1800" w:type="dxa"/>
            <w:vMerge w:val="restart"/>
            <w:vAlign w:val="center"/>
          </w:tcPr>
          <w:p w14:paraId="5F4D7BD7">
            <w:pPr>
              <w:jc w:val="center"/>
            </w:pPr>
            <w:r>
              <w:rPr>
                <w:rFonts w:hint="eastAsia"/>
              </w:rPr>
              <w:t>归档工作站软件</w:t>
            </w:r>
          </w:p>
          <w:p w14:paraId="3A94C105">
            <w:pPr>
              <w:jc w:val="center"/>
            </w:pPr>
            <w:r>
              <w:rPr>
                <w:rFonts w:hint="eastAsia"/>
              </w:rPr>
              <w:t>1套</w:t>
            </w:r>
          </w:p>
        </w:tc>
        <w:tc>
          <w:tcPr>
            <w:tcW w:w="6120" w:type="dxa"/>
            <w:vAlign w:val="center"/>
          </w:tcPr>
          <w:p w14:paraId="77BDB574">
            <w:pPr>
              <w:rPr>
                <w:szCs w:val="21"/>
              </w:rPr>
            </w:pPr>
            <w:r>
              <w:rPr>
                <w:rFonts w:hint="eastAsia" w:ascii="宋体" w:hAnsi="宋体"/>
                <w:bCs/>
                <w:szCs w:val="21"/>
              </w:rPr>
              <w:t>按照病理号区段，将资料（申请单或底单）、蜡块、玻片分别归档处理，录入具体的归档位置。</w:t>
            </w:r>
          </w:p>
        </w:tc>
      </w:tr>
      <w:tr w14:paraId="5885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149460AF">
            <w:pPr>
              <w:numPr>
                <w:ilvl w:val="0"/>
                <w:numId w:val="1"/>
              </w:numPr>
              <w:jc w:val="center"/>
            </w:pPr>
          </w:p>
        </w:tc>
        <w:tc>
          <w:tcPr>
            <w:tcW w:w="1800" w:type="dxa"/>
            <w:vMerge w:val="continue"/>
            <w:vAlign w:val="center"/>
          </w:tcPr>
          <w:p w14:paraId="1B4DC962">
            <w:pPr>
              <w:jc w:val="center"/>
            </w:pPr>
          </w:p>
        </w:tc>
        <w:tc>
          <w:tcPr>
            <w:tcW w:w="6120" w:type="dxa"/>
            <w:vAlign w:val="center"/>
          </w:tcPr>
          <w:p w14:paraId="123363BC">
            <w:pPr>
              <w:rPr>
                <w:szCs w:val="21"/>
              </w:rPr>
            </w:pPr>
            <w:r>
              <w:rPr>
                <w:rFonts w:hint="eastAsia" w:ascii="宋体" w:hAnsi="宋体"/>
                <w:bCs/>
                <w:szCs w:val="21"/>
              </w:rPr>
              <w:t>资料室借还片管理，及时了解和处理“借出”“归还”“作废”的切片情况。</w:t>
            </w:r>
            <w:r>
              <w:rPr>
                <w:rFonts w:hint="eastAsia"/>
                <w:kern w:val="0"/>
                <w:szCs w:val="21"/>
              </w:rPr>
              <w:t>借片记录可以通过借阅人来查询，也可按照姓名模糊查询。</w:t>
            </w:r>
          </w:p>
        </w:tc>
      </w:tr>
      <w:tr w14:paraId="61CED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23000AEC">
            <w:pPr>
              <w:numPr>
                <w:ilvl w:val="0"/>
                <w:numId w:val="1"/>
              </w:numPr>
              <w:jc w:val="center"/>
            </w:pPr>
          </w:p>
        </w:tc>
        <w:tc>
          <w:tcPr>
            <w:tcW w:w="1800" w:type="dxa"/>
            <w:vMerge w:val="continue"/>
            <w:vAlign w:val="center"/>
          </w:tcPr>
          <w:p w14:paraId="53AFB83B">
            <w:pPr>
              <w:jc w:val="center"/>
            </w:pPr>
          </w:p>
        </w:tc>
        <w:tc>
          <w:tcPr>
            <w:tcW w:w="6120" w:type="dxa"/>
            <w:vAlign w:val="center"/>
          </w:tcPr>
          <w:p w14:paraId="173B87A1">
            <w:pPr>
              <w:rPr>
                <w:rFonts w:hint="eastAsia" w:ascii="宋体" w:hAnsi="宋体"/>
                <w:bCs/>
                <w:szCs w:val="21"/>
              </w:rPr>
            </w:pPr>
            <w:r>
              <w:rPr>
                <w:rFonts w:hint="eastAsia" w:ascii="宋体" w:hAnsi="宋体"/>
                <w:bCs/>
                <w:szCs w:val="21"/>
              </w:rPr>
              <w:t>提供多病理号的整体查找和借出管理。</w:t>
            </w:r>
          </w:p>
        </w:tc>
      </w:tr>
      <w:tr w14:paraId="7313B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5718E93D">
            <w:pPr>
              <w:numPr>
                <w:ilvl w:val="0"/>
                <w:numId w:val="1"/>
              </w:numPr>
              <w:jc w:val="center"/>
            </w:pPr>
          </w:p>
        </w:tc>
        <w:tc>
          <w:tcPr>
            <w:tcW w:w="1800" w:type="dxa"/>
            <w:vMerge w:val="continue"/>
            <w:vAlign w:val="center"/>
          </w:tcPr>
          <w:p w14:paraId="71B8B581">
            <w:pPr>
              <w:jc w:val="center"/>
            </w:pPr>
          </w:p>
        </w:tc>
        <w:tc>
          <w:tcPr>
            <w:tcW w:w="6120" w:type="dxa"/>
            <w:vAlign w:val="center"/>
          </w:tcPr>
          <w:p w14:paraId="561808BA">
            <w:pPr>
              <w:rPr>
                <w:rFonts w:hint="eastAsia" w:ascii="宋体" w:hAnsi="宋体"/>
                <w:bCs/>
                <w:szCs w:val="21"/>
              </w:rPr>
            </w:pPr>
            <w:r>
              <w:rPr>
                <w:rFonts w:hint="eastAsia" w:ascii="宋体" w:hAnsi="宋体"/>
                <w:bCs/>
                <w:szCs w:val="21"/>
              </w:rPr>
              <w:t>打印借片凭证。</w:t>
            </w:r>
          </w:p>
        </w:tc>
      </w:tr>
      <w:tr w14:paraId="41F1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55C4AC8E">
            <w:pPr>
              <w:numPr>
                <w:ilvl w:val="0"/>
                <w:numId w:val="1"/>
              </w:numPr>
              <w:jc w:val="center"/>
            </w:pPr>
          </w:p>
        </w:tc>
        <w:tc>
          <w:tcPr>
            <w:tcW w:w="1800" w:type="dxa"/>
            <w:vMerge w:val="continue"/>
            <w:vAlign w:val="center"/>
          </w:tcPr>
          <w:p w14:paraId="751C97BA">
            <w:pPr>
              <w:jc w:val="center"/>
            </w:pPr>
          </w:p>
        </w:tc>
        <w:tc>
          <w:tcPr>
            <w:tcW w:w="6120" w:type="dxa"/>
            <w:vAlign w:val="center"/>
          </w:tcPr>
          <w:p w14:paraId="64F5BA19">
            <w:pPr>
              <w:rPr>
                <w:szCs w:val="21"/>
              </w:rPr>
            </w:pPr>
            <w:r>
              <w:rPr>
                <w:rFonts w:hint="eastAsia"/>
                <w:szCs w:val="21"/>
              </w:rPr>
              <w:t>还片时记录外院会诊意见，并返回给综合报告工作站供病理医生查看。</w:t>
            </w:r>
          </w:p>
        </w:tc>
      </w:tr>
      <w:tr w14:paraId="1A91A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5C18EC27">
            <w:pPr>
              <w:numPr>
                <w:ilvl w:val="0"/>
                <w:numId w:val="1"/>
              </w:numPr>
              <w:jc w:val="center"/>
            </w:pPr>
          </w:p>
        </w:tc>
        <w:tc>
          <w:tcPr>
            <w:tcW w:w="1800" w:type="dxa"/>
            <w:vAlign w:val="center"/>
          </w:tcPr>
          <w:p w14:paraId="43287187">
            <w:pPr>
              <w:widowControl/>
              <w:jc w:val="center"/>
              <w:rPr>
                <w:kern w:val="0"/>
                <w:szCs w:val="21"/>
              </w:rPr>
            </w:pPr>
            <w:r>
              <w:rPr>
                <w:kern w:val="0"/>
                <w:szCs w:val="21"/>
              </w:rPr>
              <w:t>HIS</w:t>
            </w:r>
            <w:r>
              <w:rPr>
                <w:rFonts w:hint="eastAsia"/>
                <w:kern w:val="0"/>
                <w:szCs w:val="21"/>
              </w:rPr>
              <w:t>系统双向接口</w:t>
            </w:r>
          </w:p>
          <w:p w14:paraId="01982E53">
            <w:pPr>
              <w:widowControl/>
              <w:jc w:val="center"/>
              <w:rPr>
                <w:kern w:val="0"/>
                <w:szCs w:val="21"/>
              </w:rPr>
            </w:pPr>
            <w:r>
              <w:rPr>
                <w:rFonts w:hint="eastAsia"/>
                <w:kern w:val="0"/>
                <w:szCs w:val="21"/>
              </w:rPr>
              <w:t>1套</w:t>
            </w:r>
          </w:p>
        </w:tc>
        <w:tc>
          <w:tcPr>
            <w:tcW w:w="6120" w:type="dxa"/>
            <w:vAlign w:val="center"/>
          </w:tcPr>
          <w:p w14:paraId="4635D74E">
            <w:pPr>
              <w:rPr>
                <w:kern w:val="0"/>
                <w:szCs w:val="21"/>
              </w:rPr>
            </w:pPr>
            <w:r>
              <w:rPr>
                <w:rFonts w:hint="eastAsia"/>
                <w:kern w:val="0"/>
                <w:szCs w:val="21"/>
              </w:rPr>
              <w:t>从医院</w:t>
            </w:r>
            <w:r>
              <w:rPr>
                <w:kern w:val="0"/>
                <w:szCs w:val="21"/>
              </w:rPr>
              <w:t>HIS</w:t>
            </w:r>
            <w:r>
              <w:rPr>
                <w:rFonts w:hint="eastAsia"/>
                <w:kern w:val="0"/>
                <w:szCs w:val="21"/>
              </w:rPr>
              <w:t>系统中提取病人基本信息或电子申请单信息；将审核过后的病理报告或未发报告原因发送到</w:t>
            </w:r>
            <w:r>
              <w:rPr>
                <w:kern w:val="0"/>
                <w:szCs w:val="21"/>
              </w:rPr>
              <w:t>HIS</w:t>
            </w:r>
            <w:r>
              <w:rPr>
                <w:rFonts w:hint="eastAsia"/>
                <w:kern w:val="0"/>
                <w:szCs w:val="21"/>
              </w:rPr>
              <w:t>系统中，通过</w:t>
            </w:r>
            <w:r>
              <w:rPr>
                <w:kern w:val="0"/>
                <w:szCs w:val="21"/>
              </w:rPr>
              <w:t>HIS</w:t>
            </w:r>
            <w:r>
              <w:rPr>
                <w:rFonts w:hint="eastAsia"/>
                <w:kern w:val="0"/>
                <w:szCs w:val="21"/>
              </w:rPr>
              <w:t>系统的浏览工作站提供给临床查看。</w:t>
            </w:r>
          </w:p>
        </w:tc>
      </w:tr>
      <w:tr w14:paraId="332A8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61608223">
            <w:pPr>
              <w:numPr>
                <w:ilvl w:val="0"/>
                <w:numId w:val="1"/>
              </w:numPr>
              <w:jc w:val="center"/>
            </w:pPr>
          </w:p>
        </w:tc>
        <w:tc>
          <w:tcPr>
            <w:tcW w:w="1800" w:type="dxa"/>
            <w:vAlign w:val="center"/>
          </w:tcPr>
          <w:p w14:paraId="5415F6F9">
            <w:pPr>
              <w:widowControl/>
              <w:jc w:val="center"/>
              <w:rPr>
                <w:kern w:val="0"/>
                <w:szCs w:val="21"/>
              </w:rPr>
            </w:pPr>
            <w:r>
              <w:rPr>
                <w:rFonts w:hint="eastAsia"/>
                <w:kern w:val="0"/>
                <w:szCs w:val="21"/>
              </w:rPr>
              <w:t>定制全国抗肿瘤药物临床应用监测数据上报接口1套</w:t>
            </w:r>
          </w:p>
        </w:tc>
        <w:tc>
          <w:tcPr>
            <w:tcW w:w="6120" w:type="dxa"/>
            <w:vAlign w:val="center"/>
          </w:tcPr>
          <w:p w14:paraId="0177DC42">
            <w:pPr>
              <w:widowControl/>
              <w:jc w:val="left"/>
              <w:rPr>
                <w:kern w:val="0"/>
                <w:szCs w:val="21"/>
              </w:rPr>
            </w:pPr>
            <w:r>
              <w:rPr>
                <w:rFonts w:hint="eastAsia"/>
                <w:kern w:val="0"/>
                <w:szCs w:val="21"/>
              </w:rPr>
              <w:t>通过定制全国抗肿瘤药物临床应用监测数据上报接口，实现以下功能：</w:t>
            </w:r>
          </w:p>
          <w:p w14:paraId="6E496F85">
            <w:pPr>
              <w:pStyle w:val="15"/>
              <w:widowControl/>
              <w:numPr>
                <w:ilvl w:val="0"/>
                <w:numId w:val="2"/>
              </w:numPr>
              <w:ind w:firstLineChars="0"/>
              <w:jc w:val="left"/>
              <w:rPr>
                <w:kern w:val="0"/>
                <w:szCs w:val="21"/>
              </w:rPr>
            </w:pPr>
            <w:r>
              <w:rPr>
                <w:rFonts w:hint="eastAsia"/>
                <w:kern w:val="0"/>
                <w:szCs w:val="21"/>
              </w:rPr>
              <w:t>病理系统提供如下视图：</w:t>
            </w:r>
          </w:p>
          <w:p w14:paraId="12482D38">
            <w:pPr>
              <w:widowControl/>
              <w:numPr>
                <w:ilvl w:val="0"/>
                <w:numId w:val="3"/>
              </w:numPr>
              <w:jc w:val="left"/>
              <w:rPr>
                <w:kern w:val="0"/>
                <w:szCs w:val="21"/>
              </w:rPr>
            </w:pPr>
            <w:r>
              <w:rPr>
                <w:kern w:val="0"/>
                <w:szCs w:val="21"/>
              </w:rPr>
              <w:t xml:space="preserve">B16-2 </w:t>
            </w:r>
            <w:r>
              <w:rPr>
                <w:rFonts w:hint="eastAsia"/>
                <w:kern w:val="0"/>
                <w:szCs w:val="21"/>
              </w:rPr>
              <w:t>病理检查记录（</w:t>
            </w:r>
            <w:r>
              <w:rPr>
                <w:kern w:val="0"/>
                <w:szCs w:val="21"/>
              </w:rPr>
              <w:t>pathological_exam_record</w:t>
            </w:r>
            <w:r>
              <w:rPr>
                <w:rFonts w:hint="eastAsia"/>
                <w:kern w:val="0"/>
                <w:szCs w:val="21"/>
              </w:rPr>
              <w:t>）</w:t>
            </w:r>
          </w:p>
          <w:p w14:paraId="75FB6B92">
            <w:pPr>
              <w:widowControl/>
              <w:numPr>
                <w:ilvl w:val="0"/>
                <w:numId w:val="3"/>
              </w:numPr>
              <w:jc w:val="left"/>
              <w:rPr>
                <w:kern w:val="0"/>
                <w:szCs w:val="21"/>
              </w:rPr>
            </w:pPr>
            <w:r>
              <w:rPr>
                <w:kern w:val="0"/>
                <w:szCs w:val="21"/>
              </w:rPr>
              <w:t xml:space="preserve">B16-3 </w:t>
            </w:r>
            <w:r>
              <w:rPr>
                <w:rFonts w:hint="eastAsia"/>
                <w:kern w:val="0"/>
                <w:szCs w:val="21"/>
              </w:rPr>
              <w:t>分子病理检测记录（</w:t>
            </w:r>
            <w:r>
              <w:rPr>
                <w:kern w:val="0"/>
                <w:szCs w:val="21"/>
              </w:rPr>
              <w:t>molecular_pathology_exam_record</w:t>
            </w:r>
            <w:r>
              <w:rPr>
                <w:rFonts w:hint="eastAsia"/>
                <w:kern w:val="0"/>
                <w:szCs w:val="21"/>
              </w:rPr>
              <w:t>）</w:t>
            </w:r>
          </w:p>
          <w:p w14:paraId="44AFAE61">
            <w:pPr>
              <w:pStyle w:val="15"/>
              <w:widowControl/>
              <w:numPr>
                <w:ilvl w:val="0"/>
                <w:numId w:val="2"/>
              </w:numPr>
              <w:ind w:firstLineChars="0"/>
              <w:jc w:val="left"/>
              <w:rPr>
                <w:kern w:val="0"/>
                <w:szCs w:val="21"/>
              </w:rPr>
            </w:pPr>
            <w:r>
              <w:rPr>
                <w:rFonts w:hint="eastAsia"/>
                <w:kern w:val="0"/>
                <w:szCs w:val="21"/>
              </w:rPr>
              <w:t>病理系统按照全国抗肿瘤药物临床应用监测数据上报说明文档格式提供数据视图，朗珈尽量配合提供病理系统已有的数据。</w:t>
            </w:r>
          </w:p>
          <w:p w14:paraId="69B07FFA">
            <w:pPr>
              <w:pStyle w:val="15"/>
              <w:widowControl/>
              <w:numPr>
                <w:ilvl w:val="0"/>
                <w:numId w:val="2"/>
              </w:numPr>
              <w:ind w:firstLineChars="0"/>
              <w:jc w:val="left"/>
              <w:rPr>
                <w:kern w:val="0"/>
                <w:szCs w:val="21"/>
              </w:rPr>
            </w:pPr>
            <w:r>
              <w:rPr>
                <w:rFonts w:hint="eastAsia"/>
                <w:kern w:val="0"/>
                <w:szCs w:val="21"/>
              </w:rPr>
              <w:t>病理系统配合医院补全相关必填字段。其中一些必填字段不是病理科相关的业务数据，需要平台或</w:t>
            </w:r>
            <w:r>
              <w:rPr>
                <w:kern w:val="0"/>
                <w:szCs w:val="21"/>
              </w:rPr>
              <w:t>HIS</w:t>
            </w:r>
            <w:r>
              <w:rPr>
                <w:rFonts w:hint="eastAsia"/>
                <w:kern w:val="0"/>
                <w:szCs w:val="21"/>
              </w:rPr>
              <w:t>在申请单推送中包含，或提供相关数据的视图来同步数据。</w:t>
            </w:r>
          </w:p>
        </w:tc>
      </w:tr>
    </w:tbl>
    <w:p w14:paraId="60C9E53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7966DE"/>
    <w:multiLevelType w:val="multilevel"/>
    <w:tmpl w:val="0A7966DE"/>
    <w:lvl w:ilvl="0" w:tentative="0">
      <w:start w:val="1"/>
      <w:numFmt w:val="decimal"/>
      <w:suff w:val="nothing"/>
      <w:lvlText w:val="%1"/>
      <w:lvlJc w:val="left"/>
      <w:pPr>
        <w:ind w:left="420" w:hanging="420"/>
      </w:pPr>
      <w:rPr>
        <w:rFonts w:hint="eastAsia"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99915BD"/>
    <w:multiLevelType w:val="multilevel"/>
    <w:tmpl w:val="299915BD"/>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566B1ED6"/>
    <w:multiLevelType w:val="multilevel"/>
    <w:tmpl w:val="566B1ED6"/>
    <w:lvl w:ilvl="0" w:tentative="0">
      <w:start w:val="1"/>
      <w:numFmt w:val="bullet"/>
      <w:suff w:val="nothing"/>
      <w:lvlText w:val=""/>
      <w:lvlJc w:val="left"/>
      <w:pPr>
        <w:ind w:left="880" w:hanging="440"/>
      </w:pPr>
      <w:rPr>
        <w:rFonts w:hint="default" w:ascii="Wingdings" w:hAnsi="Wingdings"/>
      </w:rPr>
    </w:lvl>
    <w:lvl w:ilvl="1" w:tentative="0">
      <w:start w:val="1"/>
      <w:numFmt w:val="bullet"/>
      <w:lvlText w:val=""/>
      <w:lvlJc w:val="left"/>
      <w:pPr>
        <w:ind w:left="1320" w:hanging="440"/>
      </w:pPr>
      <w:rPr>
        <w:rFonts w:hint="default" w:ascii="Wingdings" w:hAnsi="Wingdings"/>
      </w:rPr>
    </w:lvl>
    <w:lvl w:ilvl="2" w:tentative="0">
      <w:start w:val="1"/>
      <w:numFmt w:val="bullet"/>
      <w:lvlText w:val=""/>
      <w:lvlJc w:val="left"/>
      <w:pPr>
        <w:ind w:left="1760" w:hanging="440"/>
      </w:pPr>
      <w:rPr>
        <w:rFonts w:hint="default" w:ascii="Wingdings" w:hAnsi="Wingdings"/>
      </w:rPr>
    </w:lvl>
    <w:lvl w:ilvl="3" w:tentative="0">
      <w:start w:val="1"/>
      <w:numFmt w:val="bullet"/>
      <w:lvlText w:val=""/>
      <w:lvlJc w:val="left"/>
      <w:pPr>
        <w:ind w:left="2200" w:hanging="440"/>
      </w:pPr>
      <w:rPr>
        <w:rFonts w:hint="default" w:ascii="Wingdings" w:hAnsi="Wingdings"/>
      </w:rPr>
    </w:lvl>
    <w:lvl w:ilvl="4" w:tentative="0">
      <w:start w:val="1"/>
      <w:numFmt w:val="bullet"/>
      <w:lvlText w:val=""/>
      <w:lvlJc w:val="left"/>
      <w:pPr>
        <w:ind w:left="2640" w:hanging="440"/>
      </w:pPr>
      <w:rPr>
        <w:rFonts w:hint="default" w:ascii="Wingdings" w:hAnsi="Wingdings"/>
      </w:rPr>
    </w:lvl>
    <w:lvl w:ilvl="5" w:tentative="0">
      <w:start w:val="1"/>
      <w:numFmt w:val="bullet"/>
      <w:lvlText w:val=""/>
      <w:lvlJc w:val="left"/>
      <w:pPr>
        <w:ind w:left="3080" w:hanging="440"/>
      </w:pPr>
      <w:rPr>
        <w:rFonts w:hint="default" w:ascii="Wingdings" w:hAnsi="Wingdings"/>
      </w:rPr>
    </w:lvl>
    <w:lvl w:ilvl="6" w:tentative="0">
      <w:start w:val="1"/>
      <w:numFmt w:val="bullet"/>
      <w:lvlText w:val=""/>
      <w:lvlJc w:val="left"/>
      <w:pPr>
        <w:ind w:left="3520" w:hanging="440"/>
      </w:pPr>
      <w:rPr>
        <w:rFonts w:hint="default" w:ascii="Wingdings" w:hAnsi="Wingdings"/>
      </w:rPr>
    </w:lvl>
    <w:lvl w:ilvl="7" w:tentative="0">
      <w:start w:val="1"/>
      <w:numFmt w:val="bullet"/>
      <w:lvlText w:val=""/>
      <w:lvlJc w:val="left"/>
      <w:pPr>
        <w:ind w:left="3960" w:hanging="440"/>
      </w:pPr>
      <w:rPr>
        <w:rFonts w:hint="default" w:ascii="Wingdings" w:hAnsi="Wingdings"/>
      </w:rPr>
    </w:lvl>
    <w:lvl w:ilvl="8" w:tentative="0">
      <w:start w:val="1"/>
      <w:numFmt w:val="bullet"/>
      <w:lvlText w:val=""/>
      <w:lvlJc w:val="left"/>
      <w:pPr>
        <w:ind w:left="4400" w:hanging="44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xNmQzMjMwYmQ5MTZjYzhiYzI3NjhkZDViZjM0NmYifQ=="/>
  </w:docVars>
  <w:rsids>
    <w:rsidRoot w:val="00370597"/>
    <w:rsid w:val="00013B63"/>
    <w:rsid w:val="00013E37"/>
    <w:rsid w:val="0001505F"/>
    <w:rsid w:val="00020159"/>
    <w:rsid w:val="00021BFF"/>
    <w:rsid w:val="00024221"/>
    <w:rsid w:val="00025B39"/>
    <w:rsid w:val="000273AC"/>
    <w:rsid w:val="00032439"/>
    <w:rsid w:val="00032804"/>
    <w:rsid w:val="000342D6"/>
    <w:rsid w:val="0003606B"/>
    <w:rsid w:val="0003747F"/>
    <w:rsid w:val="0003768D"/>
    <w:rsid w:val="00052FBC"/>
    <w:rsid w:val="00052FDF"/>
    <w:rsid w:val="00053616"/>
    <w:rsid w:val="00054B5C"/>
    <w:rsid w:val="00055811"/>
    <w:rsid w:val="0005713F"/>
    <w:rsid w:val="0005764B"/>
    <w:rsid w:val="0006213C"/>
    <w:rsid w:val="00063104"/>
    <w:rsid w:val="00063243"/>
    <w:rsid w:val="00065820"/>
    <w:rsid w:val="00070290"/>
    <w:rsid w:val="00070E8B"/>
    <w:rsid w:val="00075FA0"/>
    <w:rsid w:val="00077065"/>
    <w:rsid w:val="000844D7"/>
    <w:rsid w:val="0008472E"/>
    <w:rsid w:val="00087C19"/>
    <w:rsid w:val="00091E1B"/>
    <w:rsid w:val="00096C35"/>
    <w:rsid w:val="00097C47"/>
    <w:rsid w:val="00097CD3"/>
    <w:rsid w:val="000A01B0"/>
    <w:rsid w:val="000A09BF"/>
    <w:rsid w:val="000A3836"/>
    <w:rsid w:val="000A53E6"/>
    <w:rsid w:val="000A6ABE"/>
    <w:rsid w:val="000A7D66"/>
    <w:rsid w:val="000B20A9"/>
    <w:rsid w:val="000B55AE"/>
    <w:rsid w:val="000C65FC"/>
    <w:rsid w:val="000C7738"/>
    <w:rsid w:val="000D469D"/>
    <w:rsid w:val="000E16F1"/>
    <w:rsid w:val="000E1AA2"/>
    <w:rsid w:val="000E2830"/>
    <w:rsid w:val="000E51AD"/>
    <w:rsid w:val="000E5987"/>
    <w:rsid w:val="000F5E5D"/>
    <w:rsid w:val="000F6432"/>
    <w:rsid w:val="00103595"/>
    <w:rsid w:val="001058DD"/>
    <w:rsid w:val="00110315"/>
    <w:rsid w:val="00110D30"/>
    <w:rsid w:val="00110E12"/>
    <w:rsid w:val="00111ED3"/>
    <w:rsid w:val="00112022"/>
    <w:rsid w:val="001136C7"/>
    <w:rsid w:val="0012158F"/>
    <w:rsid w:val="00121F6D"/>
    <w:rsid w:val="00122C64"/>
    <w:rsid w:val="00126861"/>
    <w:rsid w:val="0013093F"/>
    <w:rsid w:val="00131748"/>
    <w:rsid w:val="00132618"/>
    <w:rsid w:val="0013363D"/>
    <w:rsid w:val="00136047"/>
    <w:rsid w:val="00136E31"/>
    <w:rsid w:val="00144B4A"/>
    <w:rsid w:val="0014639E"/>
    <w:rsid w:val="00147C81"/>
    <w:rsid w:val="001545E3"/>
    <w:rsid w:val="00154D3A"/>
    <w:rsid w:val="00162B20"/>
    <w:rsid w:val="00164352"/>
    <w:rsid w:val="00166FA8"/>
    <w:rsid w:val="0017174E"/>
    <w:rsid w:val="001769F5"/>
    <w:rsid w:val="00176A64"/>
    <w:rsid w:val="00177E17"/>
    <w:rsid w:val="001801B5"/>
    <w:rsid w:val="0018540F"/>
    <w:rsid w:val="00185458"/>
    <w:rsid w:val="00186489"/>
    <w:rsid w:val="00187972"/>
    <w:rsid w:val="00195BCE"/>
    <w:rsid w:val="00195E02"/>
    <w:rsid w:val="00197F2B"/>
    <w:rsid w:val="001A27BC"/>
    <w:rsid w:val="001A5688"/>
    <w:rsid w:val="001A7A09"/>
    <w:rsid w:val="001B31F6"/>
    <w:rsid w:val="001B4783"/>
    <w:rsid w:val="001C3174"/>
    <w:rsid w:val="001C3752"/>
    <w:rsid w:val="001C770A"/>
    <w:rsid w:val="001D0E1C"/>
    <w:rsid w:val="001D645D"/>
    <w:rsid w:val="001E2458"/>
    <w:rsid w:val="001E3E3D"/>
    <w:rsid w:val="001E4166"/>
    <w:rsid w:val="001E7E1D"/>
    <w:rsid w:val="001F2A9B"/>
    <w:rsid w:val="001F4FAD"/>
    <w:rsid w:val="001F60A4"/>
    <w:rsid w:val="001F6763"/>
    <w:rsid w:val="001F6AE1"/>
    <w:rsid w:val="002008E4"/>
    <w:rsid w:val="00201B98"/>
    <w:rsid w:val="00205FA1"/>
    <w:rsid w:val="002065FA"/>
    <w:rsid w:val="00206ECE"/>
    <w:rsid w:val="00215227"/>
    <w:rsid w:val="0021762B"/>
    <w:rsid w:val="00217702"/>
    <w:rsid w:val="00221BF4"/>
    <w:rsid w:val="00227901"/>
    <w:rsid w:val="00231348"/>
    <w:rsid w:val="00234065"/>
    <w:rsid w:val="0024036D"/>
    <w:rsid w:val="00241FF8"/>
    <w:rsid w:val="0024441E"/>
    <w:rsid w:val="00247EA5"/>
    <w:rsid w:val="002578C8"/>
    <w:rsid w:val="00257B15"/>
    <w:rsid w:val="00262501"/>
    <w:rsid w:val="002628FC"/>
    <w:rsid w:val="00266F75"/>
    <w:rsid w:val="002677E5"/>
    <w:rsid w:val="00270FB4"/>
    <w:rsid w:val="00271ECC"/>
    <w:rsid w:val="00275B1F"/>
    <w:rsid w:val="0028071E"/>
    <w:rsid w:val="00280A8B"/>
    <w:rsid w:val="0028321F"/>
    <w:rsid w:val="00287B5E"/>
    <w:rsid w:val="00287C34"/>
    <w:rsid w:val="002957CE"/>
    <w:rsid w:val="00295E9D"/>
    <w:rsid w:val="002A1645"/>
    <w:rsid w:val="002A2A4F"/>
    <w:rsid w:val="002A4F7C"/>
    <w:rsid w:val="002A5AAF"/>
    <w:rsid w:val="002A7A79"/>
    <w:rsid w:val="002B388B"/>
    <w:rsid w:val="002B3A3E"/>
    <w:rsid w:val="002B516B"/>
    <w:rsid w:val="002C09CD"/>
    <w:rsid w:val="002C538A"/>
    <w:rsid w:val="002C58D6"/>
    <w:rsid w:val="002C7E69"/>
    <w:rsid w:val="002D6B0B"/>
    <w:rsid w:val="002E3CDA"/>
    <w:rsid w:val="002E406E"/>
    <w:rsid w:val="002E5FBD"/>
    <w:rsid w:val="002E61F6"/>
    <w:rsid w:val="002F7E69"/>
    <w:rsid w:val="00300B75"/>
    <w:rsid w:val="0030398C"/>
    <w:rsid w:val="00304007"/>
    <w:rsid w:val="00304C2F"/>
    <w:rsid w:val="00305E60"/>
    <w:rsid w:val="003204B1"/>
    <w:rsid w:val="003224DC"/>
    <w:rsid w:val="00324067"/>
    <w:rsid w:val="00324EDF"/>
    <w:rsid w:val="00326B03"/>
    <w:rsid w:val="00327186"/>
    <w:rsid w:val="00331F59"/>
    <w:rsid w:val="00334016"/>
    <w:rsid w:val="00351881"/>
    <w:rsid w:val="00352B47"/>
    <w:rsid w:val="00356873"/>
    <w:rsid w:val="00360594"/>
    <w:rsid w:val="00363F5B"/>
    <w:rsid w:val="00364E2D"/>
    <w:rsid w:val="00365E64"/>
    <w:rsid w:val="00370597"/>
    <w:rsid w:val="00382D96"/>
    <w:rsid w:val="003835A8"/>
    <w:rsid w:val="0038609D"/>
    <w:rsid w:val="003862D0"/>
    <w:rsid w:val="00387E39"/>
    <w:rsid w:val="003938CA"/>
    <w:rsid w:val="0039770F"/>
    <w:rsid w:val="003A33A6"/>
    <w:rsid w:val="003A3446"/>
    <w:rsid w:val="003A6CA5"/>
    <w:rsid w:val="003B5BD0"/>
    <w:rsid w:val="003B6C94"/>
    <w:rsid w:val="003C3C89"/>
    <w:rsid w:val="003C5164"/>
    <w:rsid w:val="003C5337"/>
    <w:rsid w:val="003D1071"/>
    <w:rsid w:val="003D1505"/>
    <w:rsid w:val="003D1688"/>
    <w:rsid w:val="003D2CDC"/>
    <w:rsid w:val="003D417E"/>
    <w:rsid w:val="003D4AA7"/>
    <w:rsid w:val="003D515A"/>
    <w:rsid w:val="003D68E8"/>
    <w:rsid w:val="003E08E4"/>
    <w:rsid w:val="003E267E"/>
    <w:rsid w:val="003E36B6"/>
    <w:rsid w:val="003E7836"/>
    <w:rsid w:val="003F270B"/>
    <w:rsid w:val="003F4737"/>
    <w:rsid w:val="003F49C0"/>
    <w:rsid w:val="003F5F7F"/>
    <w:rsid w:val="00405E6C"/>
    <w:rsid w:val="00410998"/>
    <w:rsid w:val="0041164A"/>
    <w:rsid w:val="004128B9"/>
    <w:rsid w:val="00413124"/>
    <w:rsid w:val="0041415F"/>
    <w:rsid w:val="00416068"/>
    <w:rsid w:val="00417E1B"/>
    <w:rsid w:val="004203AE"/>
    <w:rsid w:val="00425525"/>
    <w:rsid w:val="00436566"/>
    <w:rsid w:val="00442529"/>
    <w:rsid w:val="00443A14"/>
    <w:rsid w:val="0044462C"/>
    <w:rsid w:val="004454AD"/>
    <w:rsid w:val="00445AA6"/>
    <w:rsid w:val="0044705F"/>
    <w:rsid w:val="00447228"/>
    <w:rsid w:val="0045267D"/>
    <w:rsid w:val="0045340D"/>
    <w:rsid w:val="004548D3"/>
    <w:rsid w:val="00454F85"/>
    <w:rsid w:val="004565DD"/>
    <w:rsid w:val="004568C2"/>
    <w:rsid w:val="00456EC0"/>
    <w:rsid w:val="00457160"/>
    <w:rsid w:val="00460F4D"/>
    <w:rsid w:val="00465D8A"/>
    <w:rsid w:val="00467373"/>
    <w:rsid w:val="00486DD7"/>
    <w:rsid w:val="00491955"/>
    <w:rsid w:val="0049495E"/>
    <w:rsid w:val="00496B8C"/>
    <w:rsid w:val="004A1BE2"/>
    <w:rsid w:val="004A3EF3"/>
    <w:rsid w:val="004A412A"/>
    <w:rsid w:val="004A4524"/>
    <w:rsid w:val="004A514F"/>
    <w:rsid w:val="004B056F"/>
    <w:rsid w:val="004B1A91"/>
    <w:rsid w:val="004D0607"/>
    <w:rsid w:val="004F3CB7"/>
    <w:rsid w:val="004F650E"/>
    <w:rsid w:val="00503E28"/>
    <w:rsid w:val="005071D2"/>
    <w:rsid w:val="00507387"/>
    <w:rsid w:val="005115E6"/>
    <w:rsid w:val="00514D9E"/>
    <w:rsid w:val="005151D8"/>
    <w:rsid w:val="00523474"/>
    <w:rsid w:val="00526995"/>
    <w:rsid w:val="00527711"/>
    <w:rsid w:val="005310A6"/>
    <w:rsid w:val="00533AAC"/>
    <w:rsid w:val="0053607A"/>
    <w:rsid w:val="00537153"/>
    <w:rsid w:val="005428B6"/>
    <w:rsid w:val="005478EA"/>
    <w:rsid w:val="00552D1C"/>
    <w:rsid w:val="00553C95"/>
    <w:rsid w:val="00561414"/>
    <w:rsid w:val="005641CF"/>
    <w:rsid w:val="00572609"/>
    <w:rsid w:val="00573667"/>
    <w:rsid w:val="00581943"/>
    <w:rsid w:val="00584BF1"/>
    <w:rsid w:val="00586AA4"/>
    <w:rsid w:val="0058722E"/>
    <w:rsid w:val="00591624"/>
    <w:rsid w:val="00595975"/>
    <w:rsid w:val="00596A38"/>
    <w:rsid w:val="005972DC"/>
    <w:rsid w:val="005A17B4"/>
    <w:rsid w:val="005A24AE"/>
    <w:rsid w:val="005A352B"/>
    <w:rsid w:val="005A42AB"/>
    <w:rsid w:val="005A724C"/>
    <w:rsid w:val="005B7091"/>
    <w:rsid w:val="005C1A9F"/>
    <w:rsid w:val="005C5AB0"/>
    <w:rsid w:val="005C67E7"/>
    <w:rsid w:val="005C6968"/>
    <w:rsid w:val="005C70C8"/>
    <w:rsid w:val="005D3E92"/>
    <w:rsid w:val="005D6736"/>
    <w:rsid w:val="005E0252"/>
    <w:rsid w:val="005E5B05"/>
    <w:rsid w:val="005F1939"/>
    <w:rsid w:val="005F1E0A"/>
    <w:rsid w:val="005F60D4"/>
    <w:rsid w:val="00600E38"/>
    <w:rsid w:val="00604E3B"/>
    <w:rsid w:val="0060516E"/>
    <w:rsid w:val="006075FC"/>
    <w:rsid w:val="00614EDB"/>
    <w:rsid w:val="006224BC"/>
    <w:rsid w:val="0062381B"/>
    <w:rsid w:val="006243EE"/>
    <w:rsid w:val="00625777"/>
    <w:rsid w:val="006261E1"/>
    <w:rsid w:val="0063155F"/>
    <w:rsid w:val="006335B7"/>
    <w:rsid w:val="00634DD5"/>
    <w:rsid w:val="0063634D"/>
    <w:rsid w:val="00642C53"/>
    <w:rsid w:val="006431F6"/>
    <w:rsid w:val="00643237"/>
    <w:rsid w:val="006456C9"/>
    <w:rsid w:val="006465C8"/>
    <w:rsid w:val="006522C5"/>
    <w:rsid w:val="00652593"/>
    <w:rsid w:val="00653D99"/>
    <w:rsid w:val="00662AD9"/>
    <w:rsid w:val="00665DD7"/>
    <w:rsid w:val="00666883"/>
    <w:rsid w:val="00666EEB"/>
    <w:rsid w:val="00667B5A"/>
    <w:rsid w:val="0067013C"/>
    <w:rsid w:val="00671539"/>
    <w:rsid w:val="00671A03"/>
    <w:rsid w:val="00676AA9"/>
    <w:rsid w:val="006934D7"/>
    <w:rsid w:val="006962FA"/>
    <w:rsid w:val="006A086E"/>
    <w:rsid w:val="006A1751"/>
    <w:rsid w:val="006B577B"/>
    <w:rsid w:val="006B6189"/>
    <w:rsid w:val="006B71A6"/>
    <w:rsid w:val="006C075F"/>
    <w:rsid w:val="006C0DED"/>
    <w:rsid w:val="006C17C9"/>
    <w:rsid w:val="006D0567"/>
    <w:rsid w:val="006D3156"/>
    <w:rsid w:val="006D3709"/>
    <w:rsid w:val="006D4445"/>
    <w:rsid w:val="006D6E07"/>
    <w:rsid w:val="006E2682"/>
    <w:rsid w:val="006E30BD"/>
    <w:rsid w:val="006E4FA9"/>
    <w:rsid w:val="006E7432"/>
    <w:rsid w:val="006F07C5"/>
    <w:rsid w:val="006F1952"/>
    <w:rsid w:val="006F4074"/>
    <w:rsid w:val="006F7E3E"/>
    <w:rsid w:val="00705EB7"/>
    <w:rsid w:val="007079DF"/>
    <w:rsid w:val="0071144A"/>
    <w:rsid w:val="00712055"/>
    <w:rsid w:val="007131A2"/>
    <w:rsid w:val="00720432"/>
    <w:rsid w:val="00721D89"/>
    <w:rsid w:val="00722FFF"/>
    <w:rsid w:val="00727162"/>
    <w:rsid w:val="00727379"/>
    <w:rsid w:val="00734A42"/>
    <w:rsid w:val="00734D2F"/>
    <w:rsid w:val="00737F22"/>
    <w:rsid w:val="0074144C"/>
    <w:rsid w:val="00741EFA"/>
    <w:rsid w:val="00743F1E"/>
    <w:rsid w:val="00750362"/>
    <w:rsid w:val="007572CF"/>
    <w:rsid w:val="00757682"/>
    <w:rsid w:val="0076198A"/>
    <w:rsid w:val="00764CEA"/>
    <w:rsid w:val="00767721"/>
    <w:rsid w:val="00783A57"/>
    <w:rsid w:val="007841A8"/>
    <w:rsid w:val="00790B13"/>
    <w:rsid w:val="00790F03"/>
    <w:rsid w:val="00791E1B"/>
    <w:rsid w:val="00793831"/>
    <w:rsid w:val="00797152"/>
    <w:rsid w:val="007A630D"/>
    <w:rsid w:val="007A6E8C"/>
    <w:rsid w:val="007B10DB"/>
    <w:rsid w:val="007B3D65"/>
    <w:rsid w:val="007B5B8B"/>
    <w:rsid w:val="007B7A36"/>
    <w:rsid w:val="007C30C8"/>
    <w:rsid w:val="007C3953"/>
    <w:rsid w:val="007C3E98"/>
    <w:rsid w:val="007D07F4"/>
    <w:rsid w:val="007D16D7"/>
    <w:rsid w:val="007D5E38"/>
    <w:rsid w:val="007D7630"/>
    <w:rsid w:val="007E00DE"/>
    <w:rsid w:val="007E2B17"/>
    <w:rsid w:val="007E7854"/>
    <w:rsid w:val="007E7A23"/>
    <w:rsid w:val="007E7CBA"/>
    <w:rsid w:val="007F1E7C"/>
    <w:rsid w:val="007F3FB7"/>
    <w:rsid w:val="007F7594"/>
    <w:rsid w:val="0080164B"/>
    <w:rsid w:val="00805ABD"/>
    <w:rsid w:val="00812E50"/>
    <w:rsid w:val="00816149"/>
    <w:rsid w:val="008227FF"/>
    <w:rsid w:val="008241E7"/>
    <w:rsid w:val="00824F59"/>
    <w:rsid w:val="0082546F"/>
    <w:rsid w:val="00825C6F"/>
    <w:rsid w:val="00832036"/>
    <w:rsid w:val="008345D2"/>
    <w:rsid w:val="00834BED"/>
    <w:rsid w:val="00835920"/>
    <w:rsid w:val="008475A8"/>
    <w:rsid w:val="00850964"/>
    <w:rsid w:val="00850B64"/>
    <w:rsid w:val="008521DF"/>
    <w:rsid w:val="00853C8F"/>
    <w:rsid w:val="0085486E"/>
    <w:rsid w:val="00855C5B"/>
    <w:rsid w:val="00856052"/>
    <w:rsid w:val="008566F7"/>
    <w:rsid w:val="00857244"/>
    <w:rsid w:val="008617E7"/>
    <w:rsid w:val="00863DB0"/>
    <w:rsid w:val="00871652"/>
    <w:rsid w:val="00875731"/>
    <w:rsid w:val="008759C7"/>
    <w:rsid w:val="00882A53"/>
    <w:rsid w:val="0088440B"/>
    <w:rsid w:val="00886C2C"/>
    <w:rsid w:val="008959F2"/>
    <w:rsid w:val="008A0815"/>
    <w:rsid w:val="008A0B65"/>
    <w:rsid w:val="008B01FC"/>
    <w:rsid w:val="008B1075"/>
    <w:rsid w:val="008B5B12"/>
    <w:rsid w:val="008C6FE9"/>
    <w:rsid w:val="008D0F57"/>
    <w:rsid w:val="008D19CF"/>
    <w:rsid w:val="008D4B52"/>
    <w:rsid w:val="008D5DC0"/>
    <w:rsid w:val="008D679E"/>
    <w:rsid w:val="008E3621"/>
    <w:rsid w:val="008E3752"/>
    <w:rsid w:val="008E7CC2"/>
    <w:rsid w:val="008F0045"/>
    <w:rsid w:val="008F17D1"/>
    <w:rsid w:val="008F1ABA"/>
    <w:rsid w:val="008F61B8"/>
    <w:rsid w:val="0090150E"/>
    <w:rsid w:val="00901DD2"/>
    <w:rsid w:val="00904FAD"/>
    <w:rsid w:val="00905B8B"/>
    <w:rsid w:val="00906988"/>
    <w:rsid w:val="00922075"/>
    <w:rsid w:val="0092331E"/>
    <w:rsid w:val="00923EA3"/>
    <w:rsid w:val="00923EC2"/>
    <w:rsid w:val="00932767"/>
    <w:rsid w:val="009338F9"/>
    <w:rsid w:val="00934EA6"/>
    <w:rsid w:val="0094207A"/>
    <w:rsid w:val="009444A1"/>
    <w:rsid w:val="00944793"/>
    <w:rsid w:val="00945252"/>
    <w:rsid w:val="009463E2"/>
    <w:rsid w:val="009472AD"/>
    <w:rsid w:val="00951E45"/>
    <w:rsid w:val="00952C82"/>
    <w:rsid w:val="00963D47"/>
    <w:rsid w:val="00965F7A"/>
    <w:rsid w:val="00967AA5"/>
    <w:rsid w:val="00970400"/>
    <w:rsid w:val="00970F24"/>
    <w:rsid w:val="009733E5"/>
    <w:rsid w:val="00976E1A"/>
    <w:rsid w:val="00990701"/>
    <w:rsid w:val="00991E03"/>
    <w:rsid w:val="00993E62"/>
    <w:rsid w:val="0099559F"/>
    <w:rsid w:val="009A1BB5"/>
    <w:rsid w:val="009A30D9"/>
    <w:rsid w:val="009A6DDB"/>
    <w:rsid w:val="009B0B4E"/>
    <w:rsid w:val="009B1839"/>
    <w:rsid w:val="009B1E0C"/>
    <w:rsid w:val="009B60AC"/>
    <w:rsid w:val="009B7357"/>
    <w:rsid w:val="009B7AFC"/>
    <w:rsid w:val="009C005E"/>
    <w:rsid w:val="009C1722"/>
    <w:rsid w:val="009C1CDA"/>
    <w:rsid w:val="009C24DE"/>
    <w:rsid w:val="009C30A3"/>
    <w:rsid w:val="009C3240"/>
    <w:rsid w:val="009C46FC"/>
    <w:rsid w:val="009C63DB"/>
    <w:rsid w:val="009C74BB"/>
    <w:rsid w:val="009D24FE"/>
    <w:rsid w:val="009E4600"/>
    <w:rsid w:val="009E6285"/>
    <w:rsid w:val="009E7716"/>
    <w:rsid w:val="009F0AE3"/>
    <w:rsid w:val="009F1D71"/>
    <w:rsid w:val="009F208B"/>
    <w:rsid w:val="00A03F6D"/>
    <w:rsid w:val="00A0576F"/>
    <w:rsid w:val="00A06B03"/>
    <w:rsid w:val="00A076F3"/>
    <w:rsid w:val="00A10AEC"/>
    <w:rsid w:val="00A20A10"/>
    <w:rsid w:val="00A21099"/>
    <w:rsid w:val="00A21EDB"/>
    <w:rsid w:val="00A22D77"/>
    <w:rsid w:val="00A2416C"/>
    <w:rsid w:val="00A274C2"/>
    <w:rsid w:val="00A33FAA"/>
    <w:rsid w:val="00A42A4D"/>
    <w:rsid w:val="00A436A2"/>
    <w:rsid w:val="00A5064C"/>
    <w:rsid w:val="00A51F32"/>
    <w:rsid w:val="00A53A96"/>
    <w:rsid w:val="00A55E47"/>
    <w:rsid w:val="00A561BB"/>
    <w:rsid w:val="00A64792"/>
    <w:rsid w:val="00A65E13"/>
    <w:rsid w:val="00A70A7D"/>
    <w:rsid w:val="00A74867"/>
    <w:rsid w:val="00A91609"/>
    <w:rsid w:val="00AA1CF9"/>
    <w:rsid w:val="00AA5B9A"/>
    <w:rsid w:val="00AA6A89"/>
    <w:rsid w:val="00AB1874"/>
    <w:rsid w:val="00AB3C92"/>
    <w:rsid w:val="00AB4137"/>
    <w:rsid w:val="00AB540B"/>
    <w:rsid w:val="00AC2891"/>
    <w:rsid w:val="00AC2AED"/>
    <w:rsid w:val="00AC53F5"/>
    <w:rsid w:val="00AC63A5"/>
    <w:rsid w:val="00AD33D0"/>
    <w:rsid w:val="00AE208D"/>
    <w:rsid w:val="00AE2D55"/>
    <w:rsid w:val="00AE3198"/>
    <w:rsid w:val="00AE45BE"/>
    <w:rsid w:val="00AE4E48"/>
    <w:rsid w:val="00AE5E7F"/>
    <w:rsid w:val="00AE7392"/>
    <w:rsid w:val="00AF31D1"/>
    <w:rsid w:val="00B004CB"/>
    <w:rsid w:val="00B020C7"/>
    <w:rsid w:val="00B04355"/>
    <w:rsid w:val="00B0765D"/>
    <w:rsid w:val="00B10F84"/>
    <w:rsid w:val="00B11AA7"/>
    <w:rsid w:val="00B153E5"/>
    <w:rsid w:val="00B227B1"/>
    <w:rsid w:val="00B241D7"/>
    <w:rsid w:val="00B2463C"/>
    <w:rsid w:val="00B249D3"/>
    <w:rsid w:val="00B25865"/>
    <w:rsid w:val="00B32F45"/>
    <w:rsid w:val="00B330B7"/>
    <w:rsid w:val="00B37852"/>
    <w:rsid w:val="00B4066B"/>
    <w:rsid w:val="00B43675"/>
    <w:rsid w:val="00B62215"/>
    <w:rsid w:val="00B67F25"/>
    <w:rsid w:val="00B70506"/>
    <w:rsid w:val="00B70FCA"/>
    <w:rsid w:val="00B72C58"/>
    <w:rsid w:val="00B75378"/>
    <w:rsid w:val="00B943E9"/>
    <w:rsid w:val="00B94936"/>
    <w:rsid w:val="00B95C43"/>
    <w:rsid w:val="00B97C0F"/>
    <w:rsid w:val="00BA0C3E"/>
    <w:rsid w:val="00BA125F"/>
    <w:rsid w:val="00BA2B10"/>
    <w:rsid w:val="00BA3E28"/>
    <w:rsid w:val="00BA5452"/>
    <w:rsid w:val="00BA5E20"/>
    <w:rsid w:val="00BA7538"/>
    <w:rsid w:val="00BB042E"/>
    <w:rsid w:val="00BB053E"/>
    <w:rsid w:val="00BB1E56"/>
    <w:rsid w:val="00BB4592"/>
    <w:rsid w:val="00BB4958"/>
    <w:rsid w:val="00BB764C"/>
    <w:rsid w:val="00BB78B8"/>
    <w:rsid w:val="00BC0794"/>
    <w:rsid w:val="00BD06CF"/>
    <w:rsid w:val="00BD1C78"/>
    <w:rsid w:val="00BD575B"/>
    <w:rsid w:val="00BE1FD1"/>
    <w:rsid w:val="00BE30D1"/>
    <w:rsid w:val="00BF17A4"/>
    <w:rsid w:val="00BF35EE"/>
    <w:rsid w:val="00BF4D57"/>
    <w:rsid w:val="00BF70A0"/>
    <w:rsid w:val="00C02011"/>
    <w:rsid w:val="00C04A1D"/>
    <w:rsid w:val="00C07D4A"/>
    <w:rsid w:val="00C113D9"/>
    <w:rsid w:val="00C12DBA"/>
    <w:rsid w:val="00C14656"/>
    <w:rsid w:val="00C217B5"/>
    <w:rsid w:val="00C22D37"/>
    <w:rsid w:val="00C23326"/>
    <w:rsid w:val="00C23934"/>
    <w:rsid w:val="00C268DA"/>
    <w:rsid w:val="00C26B09"/>
    <w:rsid w:val="00C3051D"/>
    <w:rsid w:val="00C30F49"/>
    <w:rsid w:val="00C31CCA"/>
    <w:rsid w:val="00C32383"/>
    <w:rsid w:val="00C35624"/>
    <w:rsid w:val="00C42F07"/>
    <w:rsid w:val="00C43F8F"/>
    <w:rsid w:val="00C45186"/>
    <w:rsid w:val="00C472F9"/>
    <w:rsid w:val="00C53962"/>
    <w:rsid w:val="00C62E77"/>
    <w:rsid w:val="00C669DE"/>
    <w:rsid w:val="00C73F74"/>
    <w:rsid w:val="00C760E1"/>
    <w:rsid w:val="00C803A1"/>
    <w:rsid w:val="00C8078D"/>
    <w:rsid w:val="00C8104A"/>
    <w:rsid w:val="00C82495"/>
    <w:rsid w:val="00C84DAF"/>
    <w:rsid w:val="00C92321"/>
    <w:rsid w:val="00C94028"/>
    <w:rsid w:val="00C95434"/>
    <w:rsid w:val="00C95C61"/>
    <w:rsid w:val="00CA1ACB"/>
    <w:rsid w:val="00CA33B8"/>
    <w:rsid w:val="00CA61CF"/>
    <w:rsid w:val="00CA62C0"/>
    <w:rsid w:val="00CB060F"/>
    <w:rsid w:val="00CB18E4"/>
    <w:rsid w:val="00CB2ECF"/>
    <w:rsid w:val="00CB38FB"/>
    <w:rsid w:val="00CB49B6"/>
    <w:rsid w:val="00CC39A2"/>
    <w:rsid w:val="00CD1CE0"/>
    <w:rsid w:val="00CD4DEA"/>
    <w:rsid w:val="00CD7806"/>
    <w:rsid w:val="00CE17FE"/>
    <w:rsid w:val="00CE19AA"/>
    <w:rsid w:val="00CE56D5"/>
    <w:rsid w:val="00CE65BC"/>
    <w:rsid w:val="00CE79E1"/>
    <w:rsid w:val="00CF0481"/>
    <w:rsid w:val="00CF53B1"/>
    <w:rsid w:val="00D00A3E"/>
    <w:rsid w:val="00D01F3D"/>
    <w:rsid w:val="00D0730A"/>
    <w:rsid w:val="00D11240"/>
    <w:rsid w:val="00D11654"/>
    <w:rsid w:val="00D1298C"/>
    <w:rsid w:val="00D14671"/>
    <w:rsid w:val="00D1524B"/>
    <w:rsid w:val="00D208D3"/>
    <w:rsid w:val="00D233FE"/>
    <w:rsid w:val="00D245DF"/>
    <w:rsid w:val="00D259E4"/>
    <w:rsid w:val="00D25E47"/>
    <w:rsid w:val="00D261E7"/>
    <w:rsid w:val="00D31939"/>
    <w:rsid w:val="00D37C06"/>
    <w:rsid w:val="00D41BA3"/>
    <w:rsid w:val="00D428E8"/>
    <w:rsid w:val="00D42E31"/>
    <w:rsid w:val="00D42F21"/>
    <w:rsid w:val="00D433A9"/>
    <w:rsid w:val="00D44193"/>
    <w:rsid w:val="00D443C2"/>
    <w:rsid w:val="00D46344"/>
    <w:rsid w:val="00D47844"/>
    <w:rsid w:val="00D526A7"/>
    <w:rsid w:val="00D546F3"/>
    <w:rsid w:val="00D57D34"/>
    <w:rsid w:val="00D62F0D"/>
    <w:rsid w:val="00D65B67"/>
    <w:rsid w:val="00D66616"/>
    <w:rsid w:val="00D66C4F"/>
    <w:rsid w:val="00D73E3B"/>
    <w:rsid w:val="00D777E1"/>
    <w:rsid w:val="00D80050"/>
    <w:rsid w:val="00D80431"/>
    <w:rsid w:val="00D908C4"/>
    <w:rsid w:val="00D925B1"/>
    <w:rsid w:val="00D92EFB"/>
    <w:rsid w:val="00DB0034"/>
    <w:rsid w:val="00DB1C2C"/>
    <w:rsid w:val="00DB1EFA"/>
    <w:rsid w:val="00DB44EF"/>
    <w:rsid w:val="00DB4721"/>
    <w:rsid w:val="00DC0763"/>
    <w:rsid w:val="00DC3BBC"/>
    <w:rsid w:val="00DC60C4"/>
    <w:rsid w:val="00DD1A61"/>
    <w:rsid w:val="00DD34FE"/>
    <w:rsid w:val="00DD5F87"/>
    <w:rsid w:val="00DD657D"/>
    <w:rsid w:val="00DE05CD"/>
    <w:rsid w:val="00DE083E"/>
    <w:rsid w:val="00DE2E14"/>
    <w:rsid w:val="00DE4E27"/>
    <w:rsid w:val="00DE609F"/>
    <w:rsid w:val="00DE61FD"/>
    <w:rsid w:val="00DF44DE"/>
    <w:rsid w:val="00DF69DF"/>
    <w:rsid w:val="00E1419B"/>
    <w:rsid w:val="00E146D5"/>
    <w:rsid w:val="00E16697"/>
    <w:rsid w:val="00E211B3"/>
    <w:rsid w:val="00E24531"/>
    <w:rsid w:val="00E24EA3"/>
    <w:rsid w:val="00E262FD"/>
    <w:rsid w:val="00E30CC0"/>
    <w:rsid w:val="00E310E6"/>
    <w:rsid w:val="00E316AD"/>
    <w:rsid w:val="00E43EEE"/>
    <w:rsid w:val="00E44E19"/>
    <w:rsid w:val="00E47DB2"/>
    <w:rsid w:val="00E5253B"/>
    <w:rsid w:val="00E5442D"/>
    <w:rsid w:val="00E55FBF"/>
    <w:rsid w:val="00E5651A"/>
    <w:rsid w:val="00E6237E"/>
    <w:rsid w:val="00E62593"/>
    <w:rsid w:val="00E625C9"/>
    <w:rsid w:val="00E62A75"/>
    <w:rsid w:val="00E637E1"/>
    <w:rsid w:val="00E65726"/>
    <w:rsid w:val="00E71F5E"/>
    <w:rsid w:val="00E733A0"/>
    <w:rsid w:val="00E73B0D"/>
    <w:rsid w:val="00E77C07"/>
    <w:rsid w:val="00E81174"/>
    <w:rsid w:val="00E85500"/>
    <w:rsid w:val="00E8599D"/>
    <w:rsid w:val="00E86984"/>
    <w:rsid w:val="00E86A07"/>
    <w:rsid w:val="00E94335"/>
    <w:rsid w:val="00E96679"/>
    <w:rsid w:val="00EA28E1"/>
    <w:rsid w:val="00EA7026"/>
    <w:rsid w:val="00EA715D"/>
    <w:rsid w:val="00EB2F02"/>
    <w:rsid w:val="00EB7607"/>
    <w:rsid w:val="00EB79CA"/>
    <w:rsid w:val="00EC0D39"/>
    <w:rsid w:val="00EC3B98"/>
    <w:rsid w:val="00EC6C3C"/>
    <w:rsid w:val="00ED2FD4"/>
    <w:rsid w:val="00ED6039"/>
    <w:rsid w:val="00ED6382"/>
    <w:rsid w:val="00ED76B6"/>
    <w:rsid w:val="00ED79B3"/>
    <w:rsid w:val="00EE0B30"/>
    <w:rsid w:val="00EE2516"/>
    <w:rsid w:val="00EE611F"/>
    <w:rsid w:val="00EF06B1"/>
    <w:rsid w:val="00EF07E6"/>
    <w:rsid w:val="00EF1147"/>
    <w:rsid w:val="00EF1CC6"/>
    <w:rsid w:val="00EF1E25"/>
    <w:rsid w:val="00EF5A8F"/>
    <w:rsid w:val="00EF607D"/>
    <w:rsid w:val="00EF7118"/>
    <w:rsid w:val="00F0131C"/>
    <w:rsid w:val="00F02B5E"/>
    <w:rsid w:val="00F04282"/>
    <w:rsid w:val="00F0436C"/>
    <w:rsid w:val="00F06CD7"/>
    <w:rsid w:val="00F0716D"/>
    <w:rsid w:val="00F076C5"/>
    <w:rsid w:val="00F10822"/>
    <w:rsid w:val="00F134C9"/>
    <w:rsid w:val="00F15B7A"/>
    <w:rsid w:val="00F22641"/>
    <w:rsid w:val="00F26836"/>
    <w:rsid w:val="00F311F4"/>
    <w:rsid w:val="00F34A96"/>
    <w:rsid w:val="00F35195"/>
    <w:rsid w:val="00F36036"/>
    <w:rsid w:val="00F37533"/>
    <w:rsid w:val="00F40914"/>
    <w:rsid w:val="00F44656"/>
    <w:rsid w:val="00F5070C"/>
    <w:rsid w:val="00F51074"/>
    <w:rsid w:val="00F52981"/>
    <w:rsid w:val="00F54D80"/>
    <w:rsid w:val="00F55822"/>
    <w:rsid w:val="00F55B7E"/>
    <w:rsid w:val="00F55BBA"/>
    <w:rsid w:val="00F61B01"/>
    <w:rsid w:val="00F634D8"/>
    <w:rsid w:val="00F6494B"/>
    <w:rsid w:val="00F67101"/>
    <w:rsid w:val="00F74A28"/>
    <w:rsid w:val="00F76E33"/>
    <w:rsid w:val="00F819C0"/>
    <w:rsid w:val="00F82F5E"/>
    <w:rsid w:val="00F83C0F"/>
    <w:rsid w:val="00F8719A"/>
    <w:rsid w:val="00F93C65"/>
    <w:rsid w:val="00F94AE5"/>
    <w:rsid w:val="00F954DD"/>
    <w:rsid w:val="00FA4420"/>
    <w:rsid w:val="00FA667D"/>
    <w:rsid w:val="00FA7A77"/>
    <w:rsid w:val="00FA7FF4"/>
    <w:rsid w:val="00FB1377"/>
    <w:rsid w:val="00FC0D1B"/>
    <w:rsid w:val="00FC305B"/>
    <w:rsid w:val="00FC3C46"/>
    <w:rsid w:val="00FC449C"/>
    <w:rsid w:val="00FD14BD"/>
    <w:rsid w:val="00FD5598"/>
    <w:rsid w:val="00FD7847"/>
    <w:rsid w:val="00FE0925"/>
    <w:rsid w:val="00FE1437"/>
    <w:rsid w:val="00FF4C08"/>
    <w:rsid w:val="00FF5E34"/>
    <w:rsid w:val="0B3B1527"/>
    <w:rsid w:val="179F0095"/>
    <w:rsid w:val="693B4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99"/>
    <w:pPr>
      <w:jc w:val="left"/>
    </w:pPr>
  </w:style>
  <w:style w:type="paragraph" w:styleId="3">
    <w:name w:val="Balloon Text"/>
    <w:basedOn w:val="1"/>
    <w:link w:val="18"/>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uiPriority w:val="0"/>
    <w:pPr>
      <w:tabs>
        <w:tab w:val="left" w:pos="2112"/>
      </w:tabs>
      <w:spacing w:line="360" w:lineRule="auto"/>
      <w:ind w:firstLine="480" w:firstLineChars="200"/>
    </w:pPr>
    <w:rPr>
      <w:sz w:val="24"/>
    </w:rPr>
  </w:style>
  <w:style w:type="paragraph" w:styleId="7">
    <w:name w:val="annotation subject"/>
    <w:basedOn w:val="2"/>
    <w:next w:val="2"/>
    <w:link w:val="17"/>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qFormat/>
    <w:uiPriority w:val="99"/>
    <w:rPr>
      <w:sz w:val="21"/>
      <w:szCs w:val="21"/>
    </w:rPr>
  </w:style>
  <w:style w:type="paragraph" w:customStyle="1" w:styleId="12">
    <w:name w:val="Char Char Char"/>
    <w:basedOn w:val="1"/>
    <w:autoRedefine/>
    <w:qFormat/>
    <w:uiPriority w:val="0"/>
    <w:rPr>
      <w:rFonts w:ascii="仿宋_GB2312" w:eastAsia="仿宋_GB2312"/>
      <w:b/>
      <w:sz w:val="32"/>
      <w:szCs w:val="32"/>
    </w:rPr>
  </w:style>
  <w:style w:type="character" w:customStyle="1" w:styleId="13">
    <w:name w:val="页眉 字符"/>
    <w:link w:val="5"/>
    <w:qFormat/>
    <w:uiPriority w:val="0"/>
    <w:rPr>
      <w:kern w:val="2"/>
      <w:sz w:val="18"/>
      <w:szCs w:val="18"/>
    </w:rPr>
  </w:style>
  <w:style w:type="character" w:customStyle="1" w:styleId="14">
    <w:name w:val="页脚 字符"/>
    <w:link w:val="4"/>
    <w:qFormat/>
    <w:uiPriority w:val="0"/>
    <w:rPr>
      <w:kern w:val="2"/>
      <w:sz w:val="18"/>
      <w:szCs w:val="18"/>
    </w:rPr>
  </w:style>
  <w:style w:type="paragraph" w:styleId="15">
    <w:name w:val="List Paragraph"/>
    <w:basedOn w:val="1"/>
    <w:qFormat/>
    <w:uiPriority w:val="34"/>
    <w:pPr>
      <w:ind w:firstLine="420" w:firstLineChars="200"/>
    </w:pPr>
  </w:style>
  <w:style w:type="character" w:customStyle="1" w:styleId="16">
    <w:name w:val="批注文字 字符"/>
    <w:link w:val="2"/>
    <w:qFormat/>
    <w:uiPriority w:val="99"/>
    <w:rPr>
      <w:kern w:val="2"/>
      <w:sz w:val="21"/>
      <w:szCs w:val="24"/>
    </w:rPr>
  </w:style>
  <w:style w:type="character" w:customStyle="1" w:styleId="17">
    <w:name w:val="批注主题 字符"/>
    <w:link w:val="7"/>
    <w:qFormat/>
    <w:uiPriority w:val="0"/>
    <w:rPr>
      <w:b/>
      <w:bCs/>
      <w:kern w:val="2"/>
      <w:sz w:val="21"/>
      <w:szCs w:val="24"/>
    </w:rPr>
  </w:style>
  <w:style w:type="character" w:customStyle="1" w:styleId="18">
    <w:name w:val="批注框文本 字符"/>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Logene</Company>
  <Pages>6</Pages>
  <Words>5097</Words>
  <Characters>5191</Characters>
  <Lines>40</Lines>
  <Paragraphs>11</Paragraphs>
  <TotalTime>6</TotalTime>
  <ScaleCrop>false</ScaleCrop>
  <LinksUpToDate>false</LinksUpToDate>
  <CharactersWithSpaces>5230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2024-10-31T01:02:00Z</dcterms:created>
  <dc:creator>贺永庆</dc:creator>
  <cp:lastModifiedBy>福祿壽禧財</cp:lastModifiedBy>
  <dcterms:modified xsi:type="dcterms:W3CDTF">2024-12-18T09:27:20Z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8D909AC3D31640568C9197D178FF9F4C_12</vt:lpwstr>
  </property>
</Properties>
</file>