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88B5">
      <w:pPr>
        <w:pStyle w:val="2"/>
        <w:bidi w:val="0"/>
        <w:jc w:val="center"/>
        <w:rPr>
          <w:highlight w:val="none"/>
        </w:rPr>
      </w:pPr>
      <w:r>
        <w:rPr>
          <w:rFonts w:hint="eastAsia"/>
          <w:highlight w:val="none"/>
          <w:lang w:val="en-US" w:eastAsia="zh-CN"/>
        </w:rPr>
        <w:t>林西</w:t>
      </w:r>
      <w:r>
        <w:rPr>
          <w:highlight w:val="none"/>
        </w:rPr>
        <w:t>医共体信息化建设招标采购清单</w:t>
      </w:r>
    </w:p>
    <w:p w14:paraId="5A565306">
      <w:pPr>
        <w:pStyle w:val="3"/>
        <w:numPr>
          <w:ilvl w:val="0"/>
          <w:numId w:val="2"/>
        </w:numPr>
        <w:bidi w:val="0"/>
        <w:rPr>
          <w:highlight w:val="none"/>
        </w:rPr>
      </w:pPr>
      <w:r>
        <w:rPr>
          <w:highlight w:val="none"/>
        </w:rPr>
        <w:t>软件</w:t>
      </w:r>
      <w:r>
        <w:rPr>
          <w:rFonts w:hint="eastAsia"/>
          <w:highlight w:val="none"/>
          <w:lang w:val="en-US" w:eastAsia="zh-CN"/>
        </w:rPr>
        <w:t>平台建设清单</w:t>
      </w:r>
      <w:bookmarkStart w:id="95" w:name="_GoBack"/>
      <w:bookmarkEnd w:id="95"/>
    </w:p>
    <w:tbl>
      <w:tblPr>
        <w:tblStyle w:val="15"/>
        <w:tblW w:w="7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2"/>
        <w:gridCol w:w="1891"/>
        <w:gridCol w:w="4512"/>
      </w:tblGrid>
      <w:tr w14:paraId="6E3F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611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  目</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F8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子项目</w:t>
            </w:r>
          </w:p>
        </w:tc>
        <w:tc>
          <w:tcPr>
            <w:tcW w:w="45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E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功能模块</w:t>
            </w:r>
          </w:p>
        </w:tc>
      </w:tr>
      <w:tr w14:paraId="1568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A3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1B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highlight w:val="none"/>
                <w:u w:val="none"/>
              </w:rPr>
            </w:pPr>
          </w:p>
        </w:tc>
        <w:tc>
          <w:tcPr>
            <w:tcW w:w="45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68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highlight w:val="none"/>
                <w:u w:val="none"/>
              </w:rPr>
            </w:pPr>
          </w:p>
        </w:tc>
      </w:tr>
      <w:tr w14:paraId="642A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A3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医共体基础平台</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467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平台业务服务组件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89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基础信息管理组件</w:t>
            </w:r>
          </w:p>
        </w:tc>
      </w:tr>
      <w:tr w14:paraId="1CCC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22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5F4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9A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注册服务组件</w:t>
            </w:r>
          </w:p>
        </w:tc>
      </w:tr>
      <w:tr w14:paraId="462F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349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8D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44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Style w:val="22"/>
                <w:highlight w:val="none"/>
                <w:lang w:val="en-US" w:eastAsia="zh-CN" w:bidi="ar"/>
              </w:rPr>
              <w:t>居民主索引（</w:t>
            </w:r>
            <w:r>
              <w:rPr>
                <w:rStyle w:val="23"/>
                <w:rFonts w:eastAsia="宋体"/>
                <w:highlight w:val="none"/>
                <w:lang w:val="en-US" w:eastAsia="zh-CN" w:bidi="ar"/>
              </w:rPr>
              <w:t>MPI</w:t>
            </w:r>
            <w:r>
              <w:rPr>
                <w:rStyle w:val="22"/>
                <w:highlight w:val="none"/>
                <w:lang w:val="en-US" w:eastAsia="zh-CN" w:bidi="ar"/>
              </w:rPr>
              <w:t>）</w:t>
            </w:r>
          </w:p>
        </w:tc>
      </w:tr>
      <w:tr w14:paraId="43D42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86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C1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CA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认证服务管理组件</w:t>
            </w:r>
          </w:p>
        </w:tc>
      </w:tr>
      <w:tr w14:paraId="590C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1A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100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B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电子病历档案服务组件</w:t>
            </w:r>
          </w:p>
        </w:tc>
      </w:tr>
      <w:tr w14:paraId="34BD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1DC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87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5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数据整合功能组件</w:t>
            </w:r>
          </w:p>
        </w:tc>
      </w:tr>
      <w:tr w14:paraId="3D6F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FB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14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F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数据存储服务组件</w:t>
            </w:r>
          </w:p>
        </w:tc>
      </w:tr>
      <w:tr w14:paraId="082B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887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D01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1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数据管理功能组件</w:t>
            </w:r>
          </w:p>
        </w:tc>
      </w:tr>
      <w:tr w14:paraId="74B6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785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620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B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数据仓库服务组件</w:t>
            </w:r>
          </w:p>
        </w:tc>
      </w:tr>
      <w:tr w14:paraId="30C5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69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43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50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双向转诊服务组件</w:t>
            </w:r>
          </w:p>
        </w:tc>
      </w:tr>
      <w:tr w14:paraId="0A5E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08C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2FA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50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综合监管服务组件</w:t>
            </w:r>
          </w:p>
        </w:tc>
      </w:tr>
      <w:tr w14:paraId="248C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7E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02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68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慢病中心服务组件</w:t>
            </w:r>
          </w:p>
        </w:tc>
      </w:tr>
      <w:tr w14:paraId="187F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A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60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5E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数据资源共享服务组件</w:t>
            </w:r>
          </w:p>
        </w:tc>
      </w:tr>
      <w:tr w14:paraId="5355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91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A65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0F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健康档案服务组件</w:t>
            </w:r>
          </w:p>
        </w:tc>
      </w:tr>
      <w:tr w14:paraId="4799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E2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81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DD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家庭医生签约服务组件</w:t>
            </w:r>
          </w:p>
        </w:tc>
      </w:tr>
      <w:tr w14:paraId="2C10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08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67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8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远程医疗服务组件</w:t>
            </w:r>
          </w:p>
        </w:tc>
      </w:tr>
      <w:tr w14:paraId="3C41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C2D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DBF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A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便民服务组件</w:t>
            </w:r>
          </w:p>
        </w:tc>
      </w:tr>
      <w:tr w14:paraId="6E1F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A84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372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21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互联网+公共卫生服务组件</w:t>
            </w:r>
          </w:p>
        </w:tc>
      </w:tr>
      <w:tr w14:paraId="1B66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B4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4C1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C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医保综合服务组件</w:t>
            </w:r>
          </w:p>
        </w:tc>
      </w:tr>
      <w:tr w14:paraId="37E4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29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A9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A7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绩效考核服务组件</w:t>
            </w:r>
          </w:p>
        </w:tc>
      </w:tr>
      <w:tr w14:paraId="4733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A47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0E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E2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运营管理服务组件</w:t>
            </w:r>
          </w:p>
        </w:tc>
      </w:tr>
      <w:tr w14:paraId="41BE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BA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5FA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43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处方审核服务组件</w:t>
            </w:r>
          </w:p>
        </w:tc>
      </w:tr>
      <w:tr w14:paraId="2929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B88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EF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6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药品统一管理服务组件</w:t>
            </w:r>
          </w:p>
        </w:tc>
      </w:tr>
      <w:tr w14:paraId="2A80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0C8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D8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B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业务协同应用服务组件</w:t>
            </w:r>
          </w:p>
        </w:tc>
      </w:tr>
      <w:tr w14:paraId="4BA4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AC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46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EB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集中智能审方服务组件</w:t>
            </w:r>
          </w:p>
        </w:tc>
      </w:tr>
      <w:tr w14:paraId="1D3B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183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9B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4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急诊急救服务组件</w:t>
            </w:r>
          </w:p>
        </w:tc>
      </w:tr>
      <w:tr w14:paraId="7CD6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23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3FF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C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医疗资源调配服务组件</w:t>
            </w:r>
          </w:p>
        </w:tc>
      </w:tr>
      <w:tr w14:paraId="276C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6C0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nil"/>
              <w:right w:val="single" w:color="000000" w:sz="4" w:space="0"/>
            </w:tcBorders>
            <w:shd w:val="clear" w:color="auto" w:fill="auto"/>
            <w:vAlign w:val="center"/>
          </w:tcPr>
          <w:p w14:paraId="7C6F5A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数据资源中心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12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基础信息数据库</w:t>
            </w:r>
          </w:p>
        </w:tc>
      </w:tr>
      <w:tr w14:paraId="25D8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CE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4AAF92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53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健康档案数据库</w:t>
            </w:r>
          </w:p>
        </w:tc>
      </w:tr>
      <w:tr w14:paraId="3409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6F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5B3F7D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86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电子病历数据库</w:t>
            </w:r>
          </w:p>
        </w:tc>
      </w:tr>
      <w:tr w14:paraId="7D3B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8D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7810A3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28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医疗资源数据库</w:t>
            </w:r>
          </w:p>
        </w:tc>
      </w:tr>
      <w:tr w14:paraId="56BE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44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2C60AC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9C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综合管理数据库</w:t>
            </w:r>
          </w:p>
        </w:tc>
      </w:tr>
      <w:tr w14:paraId="36BD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11F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25E2B8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21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医生信息数据库</w:t>
            </w:r>
          </w:p>
        </w:tc>
      </w:tr>
      <w:tr w14:paraId="1709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E8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2CB491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E7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运营信息数据库</w:t>
            </w:r>
          </w:p>
        </w:tc>
      </w:tr>
      <w:tr w14:paraId="3ABA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340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AE81E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数据采集整合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E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数据标准管理</w:t>
            </w:r>
          </w:p>
        </w:tc>
      </w:tr>
      <w:tr w14:paraId="6E1F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8E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1C747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29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接口文档管理</w:t>
            </w:r>
          </w:p>
        </w:tc>
      </w:tr>
      <w:tr w14:paraId="0632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31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2D416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3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数据采集</w:t>
            </w:r>
          </w:p>
        </w:tc>
      </w:tr>
      <w:tr w14:paraId="00EA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C9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ACC9C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66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数据转换</w:t>
            </w:r>
          </w:p>
        </w:tc>
      </w:tr>
      <w:tr w14:paraId="0926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E26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3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数据质量控制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4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数据质量控制</w:t>
            </w:r>
          </w:p>
        </w:tc>
      </w:tr>
      <w:tr w14:paraId="67E9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03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90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B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运行环境监管</w:t>
            </w:r>
          </w:p>
        </w:tc>
      </w:tr>
      <w:tr w14:paraId="748D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79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7A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8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数据交换监控</w:t>
            </w:r>
          </w:p>
        </w:tc>
      </w:tr>
      <w:tr w14:paraId="7CC3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37D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6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86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数据质量分析</w:t>
            </w:r>
          </w:p>
        </w:tc>
      </w:tr>
      <w:tr w14:paraId="439D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578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D7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19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数据质量报告</w:t>
            </w:r>
          </w:p>
        </w:tc>
      </w:tr>
      <w:tr w14:paraId="4430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629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60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CB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数据上报管理</w:t>
            </w:r>
          </w:p>
        </w:tc>
      </w:tr>
      <w:tr w14:paraId="67EC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56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E4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F2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数据应用组件</w:t>
            </w:r>
          </w:p>
        </w:tc>
      </w:tr>
      <w:tr w14:paraId="7737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31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6F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平台基础管理服务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89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权限管理</w:t>
            </w:r>
          </w:p>
        </w:tc>
      </w:tr>
      <w:tr w14:paraId="35CF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8F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56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19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主题管理</w:t>
            </w:r>
          </w:p>
        </w:tc>
      </w:tr>
      <w:tr w14:paraId="4AD3F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E5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60F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2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节点管理</w:t>
            </w:r>
          </w:p>
        </w:tc>
      </w:tr>
      <w:tr w14:paraId="773C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EC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158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A7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配置管理</w:t>
            </w:r>
          </w:p>
        </w:tc>
      </w:tr>
      <w:tr w14:paraId="1200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1D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6A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61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日志管理</w:t>
            </w:r>
          </w:p>
        </w:tc>
      </w:tr>
      <w:tr w14:paraId="4511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43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1F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36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性能监控</w:t>
            </w:r>
          </w:p>
        </w:tc>
      </w:tr>
      <w:tr w14:paraId="2A46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E6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A24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EB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参数配置</w:t>
            </w:r>
          </w:p>
        </w:tc>
      </w:tr>
      <w:tr w14:paraId="247C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57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F6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平台标准管理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17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数据元目录管理</w:t>
            </w:r>
          </w:p>
        </w:tc>
      </w:tr>
      <w:tr w14:paraId="7976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38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64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36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数据元值域管理</w:t>
            </w:r>
          </w:p>
        </w:tc>
      </w:tr>
      <w:tr w14:paraId="1FFC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66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8A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F0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数据集管理</w:t>
            </w:r>
          </w:p>
        </w:tc>
      </w:tr>
      <w:tr w14:paraId="664B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9C9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B9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F3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卫生统计指标管理</w:t>
            </w:r>
          </w:p>
        </w:tc>
      </w:tr>
      <w:tr w14:paraId="28D9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53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11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66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共享文档管理</w:t>
            </w:r>
          </w:p>
        </w:tc>
      </w:tr>
      <w:tr w14:paraId="06B6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14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90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18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计算模型管理</w:t>
            </w:r>
          </w:p>
        </w:tc>
      </w:tr>
      <w:tr w14:paraId="6C7A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F73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75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29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元数据管理</w:t>
            </w:r>
          </w:p>
        </w:tc>
      </w:tr>
      <w:tr w14:paraId="16AF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28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B71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统一服务接口平台</w:t>
            </w: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D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上级平台数据传输接入</w:t>
            </w:r>
          </w:p>
        </w:tc>
      </w:tr>
      <w:tr w14:paraId="622C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3FE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C1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B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医疗机构业务协同接口</w:t>
            </w:r>
          </w:p>
        </w:tc>
      </w:tr>
      <w:tr w14:paraId="324A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DF0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44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2F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居民健康档案共享接口</w:t>
            </w:r>
          </w:p>
        </w:tc>
      </w:tr>
      <w:tr w14:paraId="5867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F1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914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9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医疗机构电子病历共享接口</w:t>
            </w:r>
          </w:p>
        </w:tc>
      </w:tr>
      <w:tr w14:paraId="7780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314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47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C2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医疗机构检验信息数据共享接口</w:t>
            </w:r>
          </w:p>
        </w:tc>
      </w:tr>
      <w:tr w14:paraId="7530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81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D8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28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医疗机构检查信息数据共享接口</w:t>
            </w:r>
          </w:p>
        </w:tc>
      </w:tr>
      <w:tr w14:paraId="390D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19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3C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2E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双向转诊服务接口</w:t>
            </w:r>
          </w:p>
        </w:tc>
      </w:tr>
      <w:tr w14:paraId="5C6C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5C0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208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8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医保电子凭证应用接口</w:t>
            </w:r>
          </w:p>
        </w:tc>
      </w:tr>
      <w:tr w14:paraId="174A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8AB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A8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4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医保移动支付接口</w:t>
            </w:r>
          </w:p>
        </w:tc>
      </w:tr>
      <w:tr w14:paraId="7DC8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521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7A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38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医保信息服务接口</w:t>
            </w:r>
          </w:p>
        </w:tc>
      </w:tr>
      <w:tr w14:paraId="36D8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CB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D11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AB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电子处方流转接口</w:t>
            </w:r>
          </w:p>
        </w:tc>
      </w:tr>
      <w:tr w14:paraId="72A1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C9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B5C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72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全民健康平台接口</w:t>
            </w:r>
          </w:p>
        </w:tc>
      </w:tr>
      <w:tr w14:paraId="3345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6A3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EC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F0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互联网+便民服务接口</w:t>
            </w:r>
          </w:p>
        </w:tc>
      </w:tr>
      <w:tr w14:paraId="694F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EC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05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22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互联网+诊疗服务接口</w:t>
            </w:r>
          </w:p>
        </w:tc>
      </w:tr>
      <w:tr w14:paraId="576D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B2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0B3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DC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远程会诊设备接口</w:t>
            </w:r>
          </w:p>
        </w:tc>
      </w:tr>
      <w:tr w14:paraId="5C3C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8D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6A8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8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诊疗服务自助查询服务接口</w:t>
            </w:r>
          </w:p>
        </w:tc>
      </w:tr>
      <w:tr w14:paraId="027E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86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1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8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数据上报接口</w:t>
            </w:r>
          </w:p>
        </w:tc>
      </w:tr>
      <w:tr w14:paraId="157F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81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CA0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E5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统一接口日志监控</w:t>
            </w:r>
          </w:p>
        </w:tc>
      </w:tr>
      <w:tr w14:paraId="74A2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4C3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E9A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C4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智能审核平台接口</w:t>
            </w:r>
          </w:p>
        </w:tc>
      </w:tr>
      <w:tr w14:paraId="07AA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943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3C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2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远程超声诊断服务接口</w:t>
            </w:r>
          </w:p>
        </w:tc>
      </w:tr>
      <w:tr w14:paraId="4C25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EB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30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6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医防融合服务接口</w:t>
            </w:r>
          </w:p>
        </w:tc>
      </w:tr>
      <w:tr w14:paraId="4B0E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88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88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38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公共卫生监管服务接口</w:t>
            </w:r>
          </w:p>
        </w:tc>
      </w:tr>
      <w:tr w14:paraId="7BF6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85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3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E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急诊急救平台服务接口</w:t>
            </w:r>
          </w:p>
        </w:tc>
      </w:tr>
      <w:tr w14:paraId="4C74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0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770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C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区域检验中心服务接口</w:t>
            </w:r>
          </w:p>
        </w:tc>
      </w:tr>
      <w:tr w14:paraId="21E4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03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4B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C8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区域影像中心服务接口</w:t>
            </w:r>
          </w:p>
        </w:tc>
      </w:tr>
      <w:tr w14:paraId="6F48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D5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ED3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89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区域心电中心服务接口</w:t>
            </w:r>
          </w:p>
        </w:tc>
      </w:tr>
      <w:tr w14:paraId="0F62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F2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954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D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区域病理中心服务接口</w:t>
            </w:r>
          </w:p>
        </w:tc>
      </w:tr>
      <w:tr w14:paraId="1B46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8E7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4D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44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区域消毒供应中心服务接口</w:t>
            </w:r>
          </w:p>
        </w:tc>
      </w:tr>
      <w:tr w14:paraId="0DD1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69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C2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0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统一药品管理服务接口</w:t>
            </w:r>
          </w:p>
        </w:tc>
      </w:tr>
      <w:tr w14:paraId="30FE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7A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82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D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慢病管理中心服务接口</w:t>
            </w:r>
          </w:p>
        </w:tc>
      </w:tr>
      <w:tr w14:paraId="1F5A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C9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94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A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服务数据日志跟踪</w:t>
            </w:r>
          </w:p>
        </w:tc>
      </w:tr>
      <w:tr w14:paraId="3C5B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22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E30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平台总线服务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9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服务配置</w:t>
            </w:r>
          </w:p>
        </w:tc>
      </w:tr>
      <w:tr w14:paraId="16F6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25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7FE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D5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服务发布</w:t>
            </w:r>
          </w:p>
        </w:tc>
      </w:tr>
      <w:tr w14:paraId="05F2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7FB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9F4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72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服务订阅</w:t>
            </w:r>
          </w:p>
        </w:tc>
      </w:tr>
      <w:tr w14:paraId="3061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96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7E6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F8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服务监控</w:t>
            </w:r>
          </w:p>
        </w:tc>
      </w:tr>
      <w:tr w14:paraId="6B37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760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97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C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消息推送</w:t>
            </w:r>
          </w:p>
        </w:tc>
      </w:tr>
      <w:tr w14:paraId="7BEF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9F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69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C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安全管理</w:t>
            </w:r>
          </w:p>
        </w:tc>
      </w:tr>
      <w:tr w14:paraId="58AA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restart"/>
            <w:tcBorders>
              <w:top w:val="single" w:color="000000" w:sz="4" w:space="0"/>
              <w:left w:val="single" w:color="000000" w:sz="4" w:space="0"/>
              <w:bottom w:val="nil"/>
              <w:right w:val="single" w:color="000000" w:sz="4" w:space="0"/>
            </w:tcBorders>
            <w:shd w:val="clear" w:color="auto" w:fill="auto"/>
            <w:vAlign w:val="center"/>
          </w:tcPr>
          <w:p w14:paraId="127E02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基层提质升级工程</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93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基本医疗服务系统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6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系统管理</w:t>
            </w:r>
          </w:p>
        </w:tc>
      </w:tr>
      <w:tr w14:paraId="2CF8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2618A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185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EB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基础配置管理</w:t>
            </w:r>
          </w:p>
        </w:tc>
      </w:tr>
      <w:tr w14:paraId="39B5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0FA97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8E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F0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机构信息管理</w:t>
            </w:r>
          </w:p>
        </w:tc>
      </w:tr>
      <w:tr w14:paraId="4CB9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FD96E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DC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A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门急诊挂号</w:t>
            </w:r>
          </w:p>
        </w:tc>
      </w:tr>
      <w:tr w14:paraId="357A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6A246F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97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6A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门急诊费用</w:t>
            </w:r>
          </w:p>
        </w:tc>
      </w:tr>
      <w:tr w14:paraId="7F2A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7777A0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455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6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入出库管理</w:t>
            </w:r>
          </w:p>
        </w:tc>
      </w:tr>
      <w:tr w14:paraId="799C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71D6C2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214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D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库存盘点管理</w:t>
            </w:r>
          </w:p>
        </w:tc>
      </w:tr>
      <w:tr w14:paraId="2A6D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39A7A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4A3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70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药房管理</w:t>
            </w:r>
          </w:p>
        </w:tc>
      </w:tr>
      <w:tr w14:paraId="5BDE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918F2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D8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F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药库管理</w:t>
            </w:r>
          </w:p>
        </w:tc>
      </w:tr>
      <w:tr w14:paraId="77E5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724377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89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E9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模板信息管理</w:t>
            </w:r>
          </w:p>
        </w:tc>
      </w:tr>
      <w:tr w14:paraId="06A9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707AF3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4C2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4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抗菌药物管理</w:t>
            </w:r>
          </w:p>
        </w:tc>
      </w:tr>
      <w:tr w14:paraId="2E11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628E02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66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D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医保管理</w:t>
            </w:r>
          </w:p>
        </w:tc>
      </w:tr>
      <w:tr w14:paraId="107C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2A792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73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7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病人入出转管理</w:t>
            </w:r>
          </w:p>
        </w:tc>
      </w:tr>
      <w:tr w14:paraId="3D12D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416527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16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6A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住院费用管理</w:t>
            </w:r>
          </w:p>
        </w:tc>
      </w:tr>
      <w:tr w14:paraId="02E4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3281B7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20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D1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卫生材料管理</w:t>
            </w:r>
          </w:p>
        </w:tc>
      </w:tr>
      <w:tr w14:paraId="0EED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91FAA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F7A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89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高值材料管理</w:t>
            </w:r>
          </w:p>
        </w:tc>
      </w:tr>
      <w:tr w14:paraId="7B2C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7B967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B50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4D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物资管理</w:t>
            </w:r>
          </w:p>
        </w:tc>
      </w:tr>
      <w:tr w14:paraId="7E0C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47A4F9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D0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FF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设备管理</w:t>
            </w:r>
          </w:p>
        </w:tc>
      </w:tr>
      <w:tr w14:paraId="2678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EA61F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27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45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财务监控</w:t>
            </w:r>
          </w:p>
        </w:tc>
      </w:tr>
      <w:tr w14:paraId="6FAF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6EF255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93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77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院长查询系统</w:t>
            </w:r>
          </w:p>
        </w:tc>
      </w:tr>
      <w:tr w14:paraId="7A60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7F433B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9EE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临床信息管理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C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全科医生工作站</w:t>
            </w:r>
          </w:p>
        </w:tc>
      </w:tr>
      <w:tr w14:paraId="43E4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E4D6A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152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F2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门诊护士工作站</w:t>
            </w:r>
          </w:p>
        </w:tc>
      </w:tr>
      <w:tr w14:paraId="0637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FB44D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AD5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4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住院医生工作站</w:t>
            </w:r>
          </w:p>
        </w:tc>
      </w:tr>
      <w:tr w14:paraId="4279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B4587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78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88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住院护士工作站</w:t>
            </w:r>
          </w:p>
        </w:tc>
      </w:tr>
      <w:tr w14:paraId="214A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02ED6D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9FF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A7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电子病历质控管理</w:t>
            </w:r>
          </w:p>
        </w:tc>
      </w:tr>
      <w:tr w14:paraId="6868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9E3CB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58B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4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治疗工作站</w:t>
            </w:r>
          </w:p>
        </w:tc>
      </w:tr>
      <w:tr w14:paraId="115F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7B6FD3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A3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DB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手术安排与费用系统</w:t>
            </w:r>
          </w:p>
        </w:tc>
      </w:tr>
      <w:tr w14:paraId="1731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40D01D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61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B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传染病报告管理</w:t>
            </w:r>
          </w:p>
        </w:tc>
      </w:tr>
      <w:tr w14:paraId="26BD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36005F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E5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A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病案管理系统</w:t>
            </w:r>
          </w:p>
        </w:tc>
      </w:tr>
      <w:tr w14:paraId="7620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79625C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2F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8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病案首页</w:t>
            </w:r>
          </w:p>
        </w:tc>
      </w:tr>
      <w:tr w14:paraId="5C39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4C0AF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715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9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入院记录</w:t>
            </w:r>
          </w:p>
        </w:tc>
      </w:tr>
      <w:tr w14:paraId="4760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748F8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5A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2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病程记录</w:t>
            </w:r>
          </w:p>
        </w:tc>
      </w:tr>
      <w:tr w14:paraId="275D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06BDD8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E83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85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手术相关记录</w:t>
            </w:r>
          </w:p>
        </w:tc>
      </w:tr>
      <w:tr w14:paraId="0E31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419DC5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43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B8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麻醉相关记录</w:t>
            </w:r>
          </w:p>
        </w:tc>
      </w:tr>
      <w:tr w14:paraId="4F1C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3F511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43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7C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会诊记录</w:t>
            </w:r>
          </w:p>
        </w:tc>
      </w:tr>
      <w:tr w14:paraId="68FC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56A39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0F0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39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麻醉相关记录</w:t>
            </w:r>
          </w:p>
        </w:tc>
      </w:tr>
      <w:tr w14:paraId="53AC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17992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82E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3F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会诊记录</w:t>
            </w:r>
          </w:p>
        </w:tc>
      </w:tr>
      <w:tr w14:paraId="3D5B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3B21A9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B7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24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知情同意书</w:t>
            </w:r>
          </w:p>
        </w:tc>
      </w:tr>
      <w:tr w14:paraId="404E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3ECAC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F5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F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住院病历</w:t>
            </w:r>
          </w:p>
        </w:tc>
      </w:tr>
      <w:tr w14:paraId="3D82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651A9C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2D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C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出院记录</w:t>
            </w:r>
          </w:p>
        </w:tc>
      </w:tr>
      <w:tr w14:paraId="5212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39EDF0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C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86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体温单</w:t>
            </w:r>
          </w:p>
        </w:tc>
      </w:tr>
      <w:tr w14:paraId="1BD7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0D5FD2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18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3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护理相关记录</w:t>
            </w:r>
          </w:p>
        </w:tc>
      </w:tr>
      <w:tr w14:paraId="2D1D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34CC4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15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LIS</w:t>
            </w: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01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样本管理</w:t>
            </w:r>
          </w:p>
        </w:tc>
      </w:tr>
      <w:tr w14:paraId="1D3C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6E77A9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FB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C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检验管理</w:t>
            </w:r>
          </w:p>
        </w:tc>
      </w:tr>
      <w:tr w14:paraId="6D7A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4E4E69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93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A0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报告管理</w:t>
            </w:r>
          </w:p>
        </w:tc>
      </w:tr>
      <w:tr w14:paraId="79CC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0C48CB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6C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1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设备管理</w:t>
            </w:r>
          </w:p>
        </w:tc>
      </w:tr>
      <w:tr w14:paraId="54F3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07F43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09A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66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报表管理</w:t>
            </w:r>
          </w:p>
        </w:tc>
      </w:tr>
      <w:tr w14:paraId="52BE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7CE3A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nil"/>
              <w:right w:val="single" w:color="000000" w:sz="4" w:space="0"/>
            </w:tcBorders>
            <w:shd w:val="clear" w:color="auto" w:fill="auto"/>
            <w:vAlign w:val="center"/>
          </w:tcPr>
          <w:p w14:paraId="4DBA4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PACS</w:t>
            </w: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82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影像采集</w:t>
            </w:r>
          </w:p>
        </w:tc>
      </w:tr>
      <w:tr w14:paraId="1569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AC797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7633F5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影像存储</w:t>
            </w:r>
          </w:p>
        </w:tc>
      </w:tr>
      <w:tr w14:paraId="31AF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443B00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4F0632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AC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影像管理</w:t>
            </w:r>
          </w:p>
        </w:tc>
      </w:tr>
      <w:tr w14:paraId="28D1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320A71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116CD7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B9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影像传输</w:t>
            </w:r>
          </w:p>
        </w:tc>
      </w:tr>
      <w:tr w14:paraId="4E8A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6AC5A7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2AFB99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6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影像诊断</w:t>
            </w:r>
          </w:p>
        </w:tc>
      </w:tr>
      <w:tr w14:paraId="0120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0E1245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5D5036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99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影像报告</w:t>
            </w:r>
          </w:p>
        </w:tc>
      </w:tr>
      <w:tr w14:paraId="69F2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D6091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nil"/>
              <w:right w:val="single" w:color="000000" w:sz="4" w:space="0"/>
            </w:tcBorders>
            <w:shd w:val="clear" w:color="auto" w:fill="auto"/>
            <w:vAlign w:val="center"/>
          </w:tcPr>
          <w:p w14:paraId="49EA1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相关接口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45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医保接口</w:t>
            </w:r>
          </w:p>
        </w:tc>
      </w:tr>
      <w:tr w14:paraId="2134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086436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143CA4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2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电子票据对接</w:t>
            </w:r>
          </w:p>
        </w:tc>
      </w:tr>
      <w:tr w14:paraId="6458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42461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281438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38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电子处方流转接口</w:t>
            </w:r>
          </w:p>
        </w:tc>
      </w:tr>
      <w:tr w14:paraId="397B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4B093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114CFC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A8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药品追溯码接口</w:t>
            </w:r>
          </w:p>
        </w:tc>
      </w:tr>
      <w:tr w14:paraId="4FF5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61C47B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0807F8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6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传染病上报接口</w:t>
            </w:r>
          </w:p>
        </w:tc>
      </w:tr>
      <w:tr w14:paraId="7B8F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68475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7BC4C6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E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HQMS上传接口</w:t>
            </w:r>
          </w:p>
        </w:tc>
      </w:tr>
      <w:tr w14:paraId="5378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B9E63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3C0E17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A6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移动支付接口</w:t>
            </w:r>
          </w:p>
        </w:tc>
      </w:tr>
      <w:tr w14:paraId="1B29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6C0EC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9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智慧村医信息系统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A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系统管理</w:t>
            </w:r>
          </w:p>
        </w:tc>
      </w:tr>
      <w:tr w14:paraId="026E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7BD57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73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E2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基础数据管理</w:t>
            </w:r>
          </w:p>
        </w:tc>
      </w:tr>
      <w:tr w14:paraId="7EE4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E6BAE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59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6D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入出库管理</w:t>
            </w:r>
          </w:p>
        </w:tc>
      </w:tr>
      <w:tr w14:paraId="19B1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40FB3E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F2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9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库存盘点管理</w:t>
            </w:r>
          </w:p>
        </w:tc>
      </w:tr>
      <w:tr w14:paraId="6F26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77E5D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14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2A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药房管理</w:t>
            </w:r>
          </w:p>
        </w:tc>
      </w:tr>
      <w:tr w14:paraId="5376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610E9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61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0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模块管理</w:t>
            </w:r>
          </w:p>
        </w:tc>
      </w:tr>
      <w:tr w14:paraId="35EA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19E91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0F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6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挂号收费</w:t>
            </w:r>
          </w:p>
        </w:tc>
      </w:tr>
      <w:tr w14:paraId="63BE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6FE2BD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7B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A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票据管理</w:t>
            </w:r>
          </w:p>
        </w:tc>
      </w:tr>
      <w:tr w14:paraId="397B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398EA0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49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3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药品管理</w:t>
            </w:r>
          </w:p>
        </w:tc>
      </w:tr>
      <w:tr w14:paraId="3D6D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81C91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0D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1D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收费管理</w:t>
            </w:r>
          </w:p>
        </w:tc>
      </w:tr>
      <w:tr w14:paraId="0728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79B52C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03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64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全科医生工作站</w:t>
            </w:r>
          </w:p>
        </w:tc>
      </w:tr>
      <w:tr w14:paraId="7DA3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05C2A8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35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C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医保管理</w:t>
            </w:r>
          </w:p>
        </w:tc>
      </w:tr>
      <w:tr w14:paraId="1AA8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5B795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C1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18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公共卫生管理</w:t>
            </w:r>
          </w:p>
        </w:tc>
      </w:tr>
      <w:tr w14:paraId="3877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086BFB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9A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54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家庭医生签约管理</w:t>
            </w:r>
          </w:p>
        </w:tc>
      </w:tr>
      <w:tr w14:paraId="73E2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6CCE86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7B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90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健康档案管理</w:t>
            </w:r>
          </w:p>
        </w:tc>
      </w:tr>
      <w:tr w14:paraId="1349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52913D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BF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BF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服务移动APP</w:t>
            </w:r>
          </w:p>
        </w:tc>
      </w:tr>
      <w:tr w14:paraId="74C2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3A2E78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41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79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报表平台</w:t>
            </w:r>
          </w:p>
        </w:tc>
      </w:tr>
      <w:tr w14:paraId="54C0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restart"/>
            <w:tcBorders>
              <w:top w:val="single" w:color="000000" w:sz="4" w:space="0"/>
              <w:left w:val="single" w:color="000000" w:sz="4" w:space="0"/>
              <w:bottom w:val="nil"/>
              <w:right w:val="single" w:color="000000" w:sz="4" w:space="0"/>
            </w:tcBorders>
            <w:shd w:val="clear" w:color="auto" w:fill="auto"/>
            <w:vAlign w:val="center"/>
          </w:tcPr>
          <w:p w14:paraId="3BEBF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合理诊疗执行</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F34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基于诊疗路径的双向转诊系统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E5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诊疗路径设置</w:t>
            </w:r>
          </w:p>
        </w:tc>
      </w:tr>
      <w:tr w14:paraId="6AE3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428EE4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03CC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B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转诊资源管理</w:t>
            </w:r>
          </w:p>
        </w:tc>
      </w:tr>
      <w:tr w14:paraId="075A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4E0E76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F99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5F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转院申请</w:t>
            </w:r>
          </w:p>
        </w:tc>
      </w:tr>
      <w:tr w14:paraId="0DC4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9E42E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80C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A8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转院审批</w:t>
            </w:r>
          </w:p>
        </w:tc>
      </w:tr>
      <w:tr w14:paraId="4123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67A73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D94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0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转院安排</w:t>
            </w:r>
          </w:p>
        </w:tc>
      </w:tr>
      <w:tr w14:paraId="1300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2300E7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66A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7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就诊流程跟踪</w:t>
            </w:r>
          </w:p>
        </w:tc>
      </w:tr>
      <w:tr w14:paraId="6576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nil"/>
              <w:right w:val="single" w:color="000000" w:sz="4" w:space="0"/>
            </w:tcBorders>
            <w:shd w:val="clear" w:color="auto" w:fill="auto"/>
            <w:vAlign w:val="center"/>
          </w:tcPr>
          <w:p w14:paraId="1CE92D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9524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E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消息提醒</w:t>
            </w:r>
          </w:p>
        </w:tc>
      </w:tr>
      <w:tr w14:paraId="625A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AA0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电子病历共享工程</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96C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电子病历共享数据中心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2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病历存储</w:t>
            </w:r>
          </w:p>
        </w:tc>
      </w:tr>
      <w:tr w14:paraId="1C00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FA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20B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5B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共享配置</w:t>
            </w:r>
          </w:p>
        </w:tc>
      </w:tr>
      <w:tr w14:paraId="7707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245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D6F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EC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基础设置</w:t>
            </w:r>
          </w:p>
        </w:tc>
      </w:tr>
      <w:tr w14:paraId="20E1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C3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1C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4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病历管理</w:t>
            </w:r>
          </w:p>
        </w:tc>
      </w:tr>
      <w:tr w14:paraId="2813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5F3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0B7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电子病历共享实时交互服务总线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8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批量采集病历</w:t>
            </w:r>
          </w:p>
        </w:tc>
      </w:tr>
      <w:tr w14:paraId="2C78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820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83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2D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实时交互服务</w:t>
            </w:r>
          </w:p>
        </w:tc>
      </w:tr>
      <w:tr w14:paraId="6564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6C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AD6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电子病历专用浏览器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4B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病历专用浏览器</w:t>
            </w:r>
          </w:p>
        </w:tc>
      </w:tr>
      <w:tr w14:paraId="675B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532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EC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5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门诊/住院视图</w:t>
            </w:r>
          </w:p>
        </w:tc>
      </w:tr>
      <w:tr w14:paraId="1E2E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F73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3B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D6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电子健康档案共享</w:t>
            </w:r>
          </w:p>
        </w:tc>
      </w:tr>
      <w:tr w14:paraId="4157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CD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77E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B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电子病历数据共享</w:t>
            </w:r>
          </w:p>
        </w:tc>
      </w:tr>
      <w:tr w14:paraId="61CB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252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31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AF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检验数据共享/对比分析</w:t>
            </w:r>
          </w:p>
        </w:tc>
      </w:tr>
      <w:tr w14:paraId="5B97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2FA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419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2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检查数据共享/对比分析</w:t>
            </w:r>
          </w:p>
        </w:tc>
      </w:tr>
      <w:tr w14:paraId="3323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3B3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9E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7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浏览痕迹查询</w:t>
            </w:r>
          </w:p>
        </w:tc>
      </w:tr>
      <w:tr w14:paraId="5001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14F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D13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电子病历共享接口服务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15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共享服务</w:t>
            </w:r>
          </w:p>
        </w:tc>
      </w:tr>
      <w:tr w14:paraId="75D7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0F3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352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9F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调阅记录</w:t>
            </w:r>
          </w:p>
        </w:tc>
      </w:tr>
      <w:tr w14:paraId="2571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123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42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电子病历共享安全与隐私保护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77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患者隐私保护</w:t>
            </w:r>
          </w:p>
        </w:tc>
      </w:tr>
      <w:tr w14:paraId="4809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90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F1E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93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授权管理</w:t>
            </w:r>
          </w:p>
        </w:tc>
      </w:tr>
      <w:tr w14:paraId="0AF9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162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C0B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F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信息安全管理</w:t>
            </w:r>
          </w:p>
        </w:tc>
      </w:tr>
      <w:tr w14:paraId="4DA3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1C7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平台监管应用</w:t>
            </w:r>
          </w:p>
        </w:tc>
        <w:tc>
          <w:tcPr>
            <w:tcW w:w="1891" w:type="dxa"/>
            <w:vMerge w:val="restart"/>
            <w:tcBorders>
              <w:top w:val="single" w:color="000000" w:sz="4" w:space="0"/>
              <w:left w:val="single" w:color="000000" w:sz="4" w:space="0"/>
              <w:bottom w:val="nil"/>
              <w:right w:val="single" w:color="000000" w:sz="4" w:space="0"/>
            </w:tcBorders>
            <w:shd w:val="clear" w:color="auto" w:fill="auto"/>
            <w:vAlign w:val="center"/>
          </w:tcPr>
          <w:p w14:paraId="2D5F8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医疗服务监管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E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门诊人次监管分析</w:t>
            </w:r>
          </w:p>
        </w:tc>
      </w:tr>
      <w:tr w14:paraId="7E6D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61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6CF3D6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F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门诊流量时段分析</w:t>
            </w:r>
          </w:p>
        </w:tc>
      </w:tr>
      <w:tr w14:paraId="42FF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5D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32F70C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13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住院情况监管分析</w:t>
            </w:r>
          </w:p>
        </w:tc>
      </w:tr>
      <w:tr w14:paraId="15BC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927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133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医疗质量监管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1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大处方情况监管</w:t>
            </w:r>
          </w:p>
        </w:tc>
      </w:tr>
      <w:tr w14:paraId="0448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49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BFC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B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抗生素使用情况监管</w:t>
            </w:r>
          </w:p>
        </w:tc>
      </w:tr>
      <w:tr w14:paraId="560E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AB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62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41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输液处方情况监管</w:t>
            </w:r>
          </w:p>
        </w:tc>
      </w:tr>
      <w:tr w14:paraId="22D5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0E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3A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19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检验/检查开单情况监管</w:t>
            </w:r>
          </w:p>
        </w:tc>
      </w:tr>
      <w:tr w14:paraId="57B3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C2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D2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63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医生医疗行为监管</w:t>
            </w:r>
          </w:p>
        </w:tc>
      </w:tr>
      <w:tr w14:paraId="58D6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5E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7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分级诊疗业务监管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2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双向转诊情况监管</w:t>
            </w:r>
          </w:p>
        </w:tc>
      </w:tr>
      <w:tr w14:paraId="6D8C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9A5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83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协同业务监管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5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区域影像情况监管</w:t>
            </w:r>
          </w:p>
        </w:tc>
      </w:tr>
      <w:tr w14:paraId="45CB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E4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5B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2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区域临检情况监管</w:t>
            </w:r>
          </w:p>
        </w:tc>
      </w:tr>
      <w:tr w14:paraId="17A0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DEE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5E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53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区域心电情况监管</w:t>
            </w:r>
          </w:p>
        </w:tc>
      </w:tr>
      <w:tr w14:paraId="14A8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D3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9E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1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区域病理情况监管</w:t>
            </w:r>
          </w:p>
        </w:tc>
      </w:tr>
      <w:tr w14:paraId="1949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B00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824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远程医疗业务监管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4F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远程会诊情况监管</w:t>
            </w:r>
          </w:p>
        </w:tc>
      </w:tr>
      <w:tr w14:paraId="599A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B5E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BD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6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远程超声情况监管</w:t>
            </w:r>
          </w:p>
        </w:tc>
      </w:tr>
      <w:tr w14:paraId="7F67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E9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7A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集中审方情况监管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F1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集中审方情况监管</w:t>
            </w:r>
          </w:p>
        </w:tc>
      </w:tr>
      <w:tr w14:paraId="7F4E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4D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F38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医疗保障监管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78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医保基金情况分析</w:t>
            </w:r>
          </w:p>
        </w:tc>
      </w:tr>
      <w:tr w14:paraId="47FD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C5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C2C9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7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医保费用增长率分析</w:t>
            </w:r>
          </w:p>
        </w:tc>
      </w:tr>
      <w:tr w14:paraId="165F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C1B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DDDD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A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医保报销比例分析</w:t>
            </w:r>
          </w:p>
        </w:tc>
      </w:tr>
      <w:tr w14:paraId="5D3D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08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C60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79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医疗机构医保基金占比分析</w:t>
            </w:r>
          </w:p>
        </w:tc>
      </w:tr>
      <w:tr w14:paraId="534F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43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F71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4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医保基金支付比例占比</w:t>
            </w:r>
          </w:p>
        </w:tc>
      </w:tr>
      <w:tr w14:paraId="702D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08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E511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9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县域内就诊情况分析</w:t>
            </w:r>
          </w:p>
        </w:tc>
      </w:tr>
      <w:tr w14:paraId="7E81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29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135E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75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高血压情况统计分析</w:t>
            </w:r>
          </w:p>
        </w:tc>
      </w:tr>
      <w:tr w14:paraId="6772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E76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CE00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F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糖尿病情况统计分析</w:t>
            </w:r>
          </w:p>
        </w:tc>
      </w:tr>
      <w:tr w14:paraId="57AD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86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E675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75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脑卒中情况统计分析</w:t>
            </w:r>
          </w:p>
        </w:tc>
      </w:tr>
      <w:tr w14:paraId="01E8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AD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02C2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24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恶性肿瘤情况统计分析</w:t>
            </w:r>
          </w:p>
        </w:tc>
      </w:tr>
      <w:tr w14:paraId="71D1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55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CCA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01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冠心病情况统计分析</w:t>
            </w:r>
          </w:p>
        </w:tc>
      </w:tr>
      <w:tr w14:paraId="5305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639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B10A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D3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慢阻肺患者情况统计分析</w:t>
            </w:r>
          </w:p>
        </w:tc>
      </w:tr>
      <w:tr w14:paraId="4BD6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BD9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6DDB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9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供应商情况统计</w:t>
            </w:r>
          </w:p>
        </w:tc>
      </w:tr>
      <w:tr w14:paraId="25AF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1BC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20C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90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药品采购计划统计</w:t>
            </w:r>
          </w:p>
        </w:tc>
      </w:tr>
      <w:tr w14:paraId="49DE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48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0062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5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药品采购情况统计</w:t>
            </w:r>
          </w:p>
        </w:tc>
      </w:tr>
      <w:tr w14:paraId="1EAD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97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7B60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1A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药品入库情况统计</w:t>
            </w:r>
          </w:p>
        </w:tc>
      </w:tr>
      <w:tr w14:paraId="4B29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709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3419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B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药品使用情况统计</w:t>
            </w:r>
          </w:p>
        </w:tc>
      </w:tr>
      <w:tr w14:paraId="5136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EAD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E613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19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药品库存情况统计</w:t>
            </w:r>
          </w:p>
        </w:tc>
      </w:tr>
      <w:tr w14:paraId="3DCD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B8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C93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基本公共卫生服务监管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健康档案监管</w:t>
            </w:r>
          </w:p>
        </w:tc>
      </w:tr>
      <w:tr w14:paraId="42EB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040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DAB8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3B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健康体检监管</w:t>
            </w:r>
          </w:p>
        </w:tc>
      </w:tr>
      <w:tr w14:paraId="1914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32B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69F0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EB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慢病管理查询</w:t>
            </w:r>
          </w:p>
        </w:tc>
      </w:tr>
      <w:tr w14:paraId="27A6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54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E5FD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0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妇女保健服务查询</w:t>
            </w:r>
          </w:p>
        </w:tc>
      </w:tr>
      <w:tr w14:paraId="7418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C70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7AA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84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儿童保健服务查询</w:t>
            </w:r>
          </w:p>
        </w:tc>
      </w:tr>
      <w:tr w14:paraId="178F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44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946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9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严重精神障碍患者管理查询</w:t>
            </w:r>
          </w:p>
        </w:tc>
      </w:tr>
      <w:tr w14:paraId="613B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066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96A8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7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健康教育服务查询</w:t>
            </w:r>
          </w:p>
        </w:tc>
      </w:tr>
      <w:tr w14:paraId="0550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14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C9EB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6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其他公共卫生服务查询</w:t>
            </w:r>
          </w:p>
        </w:tc>
      </w:tr>
      <w:tr w14:paraId="725A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B38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tcBorders>
              <w:top w:val="single" w:color="000000" w:sz="4" w:space="0"/>
              <w:left w:val="single" w:color="000000" w:sz="4" w:space="0"/>
              <w:bottom w:val="nil"/>
              <w:right w:val="single" w:color="000000" w:sz="4" w:space="0"/>
            </w:tcBorders>
            <w:shd w:val="clear" w:color="auto" w:fill="FFFFFF"/>
            <w:vAlign w:val="center"/>
          </w:tcPr>
          <w:p w14:paraId="668DE4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家庭医生签约服务监管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5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签约情况统计分析</w:t>
            </w:r>
          </w:p>
        </w:tc>
      </w:tr>
      <w:tr w14:paraId="2E52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23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tcBorders>
              <w:top w:val="single" w:color="000000" w:sz="4" w:space="0"/>
              <w:left w:val="single" w:color="000000" w:sz="4" w:space="0"/>
              <w:bottom w:val="nil"/>
              <w:right w:val="single" w:color="000000" w:sz="4" w:space="0"/>
            </w:tcBorders>
            <w:shd w:val="clear" w:color="auto" w:fill="FFFFFF"/>
            <w:vAlign w:val="center"/>
          </w:tcPr>
          <w:p w14:paraId="57B1F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传染性疾病服务监管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2A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传染病监管业务分析</w:t>
            </w:r>
          </w:p>
        </w:tc>
      </w:tr>
      <w:tr w14:paraId="455A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47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D2EF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医共体大屏监管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00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医防融合业务监管</w:t>
            </w:r>
          </w:p>
        </w:tc>
      </w:tr>
      <w:tr w14:paraId="323E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F7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C91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9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消毒供应中心业务监管</w:t>
            </w:r>
          </w:p>
        </w:tc>
      </w:tr>
      <w:tr w14:paraId="23A2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21E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3B4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3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急诊急救中心业务监管</w:t>
            </w:r>
          </w:p>
        </w:tc>
      </w:tr>
      <w:tr w14:paraId="1E34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AC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0930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4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慢病管理中心业务监管</w:t>
            </w:r>
          </w:p>
        </w:tc>
      </w:tr>
      <w:tr w14:paraId="1D85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76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3F5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FF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医护调度中心业务监管</w:t>
            </w:r>
          </w:p>
        </w:tc>
      </w:tr>
      <w:tr w14:paraId="2708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3B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1B3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9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医疗情况监管大屏</w:t>
            </w:r>
          </w:p>
        </w:tc>
      </w:tr>
      <w:tr w14:paraId="508A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0F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ED61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B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公卫数据监测大屏</w:t>
            </w:r>
          </w:p>
        </w:tc>
      </w:tr>
      <w:tr w14:paraId="691C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30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A16F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1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协同应用检测大屏</w:t>
            </w:r>
          </w:p>
        </w:tc>
      </w:tr>
      <w:tr w14:paraId="6AB1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C5B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C2E9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6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资源耗用情况检测大屏</w:t>
            </w:r>
          </w:p>
        </w:tc>
      </w:tr>
      <w:tr w14:paraId="07ED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8E556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5BA5F1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B2A85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驾驶舱</w:t>
            </w:r>
          </w:p>
        </w:tc>
      </w:tr>
      <w:tr w14:paraId="0AAE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restart"/>
            <w:tcBorders>
              <w:top w:val="single" w:color="auto" w:sz="4" w:space="0"/>
              <w:left w:val="single" w:color="auto" w:sz="4" w:space="0"/>
              <w:bottom w:val="nil"/>
              <w:right w:val="single" w:color="000000" w:sz="4" w:space="0"/>
            </w:tcBorders>
            <w:shd w:val="clear" w:color="auto" w:fill="auto"/>
            <w:vAlign w:val="center"/>
          </w:tcPr>
          <w:p w14:paraId="62A0EB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7973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区域心电中心系统</w:t>
            </w:r>
          </w:p>
        </w:tc>
        <w:tc>
          <w:tcPr>
            <w:tcW w:w="0" w:type="auto"/>
            <w:tcBorders>
              <w:top w:val="single" w:color="auto" w:sz="4" w:space="0"/>
              <w:left w:val="single" w:color="000000" w:sz="4" w:space="0"/>
              <w:bottom w:val="single" w:color="000000" w:sz="4" w:space="0"/>
              <w:right w:val="single" w:color="auto" w:sz="4" w:space="0"/>
            </w:tcBorders>
            <w:shd w:val="clear" w:color="auto" w:fill="auto"/>
            <w:noWrap/>
            <w:vAlign w:val="center"/>
          </w:tcPr>
          <w:p w14:paraId="6EA83E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心电诊断申请</w:t>
            </w:r>
          </w:p>
        </w:tc>
      </w:tr>
      <w:tr w14:paraId="6FA7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55B3F3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6D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4E4D3B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诊断中心</w:t>
            </w:r>
          </w:p>
        </w:tc>
      </w:tr>
      <w:tr w14:paraId="6F19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1AEF96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468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062777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远程协助诊断</w:t>
            </w:r>
          </w:p>
        </w:tc>
      </w:tr>
      <w:tr w14:paraId="190D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59E6F8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6A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7B302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诊断报告管理</w:t>
            </w:r>
          </w:p>
        </w:tc>
      </w:tr>
      <w:tr w14:paraId="7945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637F72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D4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10934F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查询功能</w:t>
            </w:r>
          </w:p>
        </w:tc>
      </w:tr>
      <w:tr w14:paraId="5846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5AE831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66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2D9CCA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危急值提醒</w:t>
            </w:r>
          </w:p>
        </w:tc>
      </w:tr>
      <w:tr w14:paraId="6838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61E697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597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区域影像信息平台</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4F777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委托检查服务</w:t>
            </w:r>
          </w:p>
        </w:tc>
      </w:tr>
      <w:tr w14:paraId="4F1E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0AC521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BE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6282BE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委托检查接单</w:t>
            </w:r>
          </w:p>
        </w:tc>
      </w:tr>
      <w:tr w14:paraId="02B0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148C31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64C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30DA83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委托检查报告</w:t>
            </w:r>
          </w:p>
        </w:tc>
      </w:tr>
      <w:tr w14:paraId="3E85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6D572F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3AC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26B818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集中阅片服务</w:t>
            </w:r>
          </w:p>
        </w:tc>
      </w:tr>
      <w:tr w14:paraId="0551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335EC2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DB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2AF8B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集中阅片申请</w:t>
            </w:r>
          </w:p>
        </w:tc>
      </w:tr>
      <w:tr w14:paraId="2F53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4DFDC4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E8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437F35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阅片申请审核</w:t>
            </w:r>
          </w:p>
        </w:tc>
      </w:tr>
      <w:tr w14:paraId="461C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27708D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E3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2F0A6B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集中阅片诊断</w:t>
            </w:r>
          </w:p>
        </w:tc>
      </w:tr>
      <w:tr w14:paraId="7670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04D774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2B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04F404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诊断报告管理</w:t>
            </w:r>
          </w:p>
        </w:tc>
      </w:tr>
      <w:tr w14:paraId="1519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6443B2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15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集中审方平台</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631343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前置审方医生站</w:t>
            </w:r>
          </w:p>
        </w:tc>
      </w:tr>
      <w:tr w14:paraId="3C1D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270502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DA2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3F73E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电子处方流转</w:t>
            </w:r>
          </w:p>
        </w:tc>
      </w:tr>
      <w:tr w14:paraId="231F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2E8077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F43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3D1E17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知识库管理</w:t>
            </w:r>
          </w:p>
        </w:tc>
      </w:tr>
      <w:tr w14:paraId="2BCE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35D274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4DA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2689E0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药师审核工作站</w:t>
            </w:r>
          </w:p>
        </w:tc>
      </w:tr>
      <w:tr w14:paraId="7344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4BE217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9F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378706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人工审核干预</w:t>
            </w:r>
          </w:p>
        </w:tc>
      </w:tr>
      <w:tr w14:paraId="796A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3FD821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36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00D4AD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基础数据维护</w:t>
            </w:r>
          </w:p>
        </w:tc>
      </w:tr>
      <w:tr w14:paraId="53E2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07C704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A6E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1AF6B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处方合格率统计分析</w:t>
            </w:r>
          </w:p>
        </w:tc>
      </w:tr>
      <w:tr w14:paraId="5696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548617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C23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529B08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审方统计</w:t>
            </w:r>
          </w:p>
        </w:tc>
      </w:tr>
      <w:tr w14:paraId="1FA2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410588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1F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3CDBAE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系统管理</w:t>
            </w:r>
          </w:p>
        </w:tc>
      </w:tr>
      <w:tr w14:paraId="299A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4D5BEE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nil"/>
              <w:left w:val="single" w:color="000000" w:sz="4" w:space="0"/>
              <w:right w:val="single" w:color="000000" w:sz="4" w:space="0"/>
            </w:tcBorders>
            <w:shd w:val="clear" w:color="auto" w:fill="auto"/>
            <w:vAlign w:val="center"/>
          </w:tcPr>
          <w:p w14:paraId="5E028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远程会诊中心（包含协同门诊）</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0AE55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预约会诊申请</w:t>
            </w:r>
          </w:p>
        </w:tc>
      </w:tr>
      <w:tr w14:paraId="4784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28857F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left w:val="single" w:color="000000" w:sz="4" w:space="0"/>
              <w:right w:val="single" w:color="000000" w:sz="4" w:space="0"/>
            </w:tcBorders>
            <w:shd w:val="clear" w:color="auto" w:fill="auto"/>
            <w:vAlign w:val="center"/>
          </w:tcPr>
          <w:p w14:paraId="5C7686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49AF0B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会诊安排</w:t>
            </w:r>
          </w:p>
        </w:tc>
      </w:tr>
      <w:tr w14:paraId="089D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6C17F3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left w:val="single" w:color="000000" w:sz="4" w:space="0"/>
              <w:right w:val="single" w:color="000000" w:sz="4" w:space="0"/>
            </w:tcBorders>
            <w:shd w:val="clear" w:color="auto" w:fill="auto"/>
            <w:vAlign w:val="center"/>
          </w:tcPr>
          <w:p w14:paraId="56A15C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5844EE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会诊审核</w:t>
            </w:r>
          </w:p>
        </w:tc>
      </w:tr>
      <w:tr w14:paraId="6026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0D817F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left w:val="single" w:color="000000" w:sz="4" w:space="0"/>
              <w:right w:val="single" w:color="000000" w:sz="4" w:space="0"/>
            </w:tcBorders>
            <w:shd w:val="clear" w:color="auto" w:fill="auto"/>
            <w:vAlign w:val="center"/>
          </w:tcPr>
          <w:p w14:paraId="3E5A45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12F9AB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会诊管理</w:t>
            </w:r>
          </w:p>
        </w:tc>
      </w:tr>
      <w:tr w14:paraId="2CC7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6C912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left w:val="single" w:color="000000" w:sz="4" w:space="0"/>
              <w:right w:val="single" w:color="000000" w:sz="4" w:space="0"/>
            </w:tcBorders>
            <w:shd w:val="clear" w:color="auto" w:fill="auto"/>
            <w:vAlign w:val="center"/>
          </w:tcPr>
          <w:p w14:paraId="466EBF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677417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实时会诊</w:t>
            </w:r>
          </w:p>
        </w:tc>
      </w:tr>
      <w:tr w14:paraId="6B2E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7D0B8F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left w:val="single" w:color="000000" w:sz="4" w:space="0"/>
              <w:right w:val="single" w:color="000000" w:sz="4" w:space="0"/>
            </w:tcBorders>
            <w:shd w:val="clear" w:color="auto" w:fill="auto"/>
            <w:vAlign w:val="center"/>
          </w:tcPr>
          <w:p w14:paraId="1DAD5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2BB18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会诊报告</w:t>
            </w:r>
          </w:p>
        </w:tc>
      </w:tr>
      <w:tr w14:paraId="422C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11648C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left w:val="single" w:color="000000" w:sz="4" w:space="0"/>
              <w:right w:val="single" w:color="000000" w:sz="4" w:space="0"/>
            </w:tcBorders>
            <w:shd w:val="clear" w:color="auto" w:fill="auto"/>
            <w:vAlign w:val="center"/>
          </w:tcPr>
          <w:p w14:paraId="6B9577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577F68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服务提醒</w:t>
            </w:r>
          </w:p>
        </w:tc>
      </w:tr>
      <w:tr w14:paraId="4ECA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354E48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left w:val="single" w:color="000000" w:sz="4" w:space="0"/>
              <w:right w:val="single" w:color="000000" w:sz="4" w:space="0"/>
            </w:tcBorders>
            <w:shd w:val="clear" w:color="auto" w:fill="auto"/>
            <w:vAlign w:val="center"/>
          </w:tcPr>
          <w:p w14:paraId="5DF5A4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37FBAE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音视频通话</w:t>
            </w:r>
          </w:p>
        </w:tc>
      </w:tr>
      <w:tr w14:paraId="03EC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07DEAE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left w:val="single" w:color="000000" w:sz="4" w:space="0"/>
              <w:right w:val="single" w:color="000000" w:sz="4" w:space="0"/>
            </w:tcBorders>
            <w:shd w:val="clear" w:color="auto" w:fill="auto"/>
            <w:vAlign w:val="center"/>
          </w:tcPr>
          <w:p w14:paraId="640FA7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43925E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病历共享</w:t>
            </w:r>
          </w:p>
        </w:tc>
      </w:tr>
      <w:tr w14:paraId="2238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51D044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left w:val="single" w:color="000000" w:sz="4" w:space="0"/>
              <w:right w:val="single" w:color="000000" w:sz="4" w:space="0"/>
            </w:tcBorders>
            <w:shd w:val="clear" w:color="auto" w:fill="auto"/>
            <w:vAlign w:val="center"/>
          </w:tcPr>
          <w:p w14:paraId="6F0A8F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026137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诊疗建议</w:t>
            </w:r>
          </w:p>
        </w:tc>
      </w:tr>
      <w:tr w14:paraId="5C19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686140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left w:val="single" w:color="000000" w:sz="4" w:space="0"/>
              <w:bottom w:val="nil"/>
              <w:right w:val="single" w:color="000000" w:sz="4" w:space="0"/>
            </w:tcBorders>
            <w:shd w:val="clear" w:color="auto" w:fill="auto"/>
            <w:vAlign w:val="center"/>
          </w:tcPr>
          <w:p w14:paraId="4BC4EB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666A6C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转诊服务</w:t>
            </w:r>
          </w:p>
        </w:tc>
      </w:tr>
      <w:tr w14:paraId="2FA6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6AEEC3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restart"/>
            <w:tcBorders>
              <w:top w:val="single" w:color="000000" w:sz="4" w:space="0"/>
              <w:left w:val="single" w:color="000000" w:sz="4" w:space="0"/>
              <w:bottom w:val="nil"/>
              <w:right w:val="single" w:color="000000" w:sz="4" w:space="0"/>
            </w:tcBorders>
            <w:shd w:val="clear" w:color="auto" w:fill="auto"/>
            <w:vAlign w:val="center"/>
          </w:tcPr>
          <w:p w14:paraId="702254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慢病健康管理平台</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0D7E5C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慢病首页</w:t>
            </w:r>
          </w:p>
        </w:tc>
      </w:tr>
      <w:tr w14:paraId="32BE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2387A0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0D98DD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691B4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慢病花名册</w:t>
            </w:r>
          </w:p>
        </w:tc>
      </w:tr>
      <w:tr w14:paraId="3BC1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32F313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015D9A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4B35C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慢病治疗方案</w:t>
            </w:r>
          </w:p>
        </w:tc>
      </w:tr>
      <w:tr w14:paraId="7501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304038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506FF2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4AF15B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慢病管理计划</w:t>
            </w:r>
          </w:p>
        </w:tc>
      </w:tr>
      <w:tr w14:paraId="06F2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078FF8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3D64D4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780F6F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慢病处方点评</w:t>
            </w:r>
          </w:p>
        </w:tc>
      </w:tr>
      <w:tr w14:paraId="1AE0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4B074C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7526C4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5C2BEE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慢病年度报告</w:t>
            </w:r>
          </w:p>
        </w:tc>
      </w:tr>
      <w:tr w14:paraId="0025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nil"/>
              <w:right w:val="single" w:color="000000" w:sz="4" w:space="0"/>
            </w:tcBorders>
            <w:shd w:val="clear" w:color="auto" w:fill="auto"/>
            <w:vAlign w:val="center"/>
          </w:tcPr>
          <w:p w14:paraId="00182B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nil"/>
              <w:right w:val="single" w:color="000000" w:sz="4" w:space="0"/>
            </w:tcBorders>
            <w:shd w:val="clear" w:color="auto" w:fill="auto"/>
            <w:vAlign w:val="center"/>
          </w:tcPr>
          <w:p w14:paraId="2048D6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67FC40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慢病危急值预警</w:t>
            </w:r>
          </w:p>
        </w:tc>
      </w:tr>
      <w:tr w14:paraId="30F7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2" w:type="dxa"/>
            <w:vMerge w:val="continue"/>
            <w:tcBorders>
              <w:top w:val="nil"/>
              <w:left w:val="single" w:color="auto" w:sz="4" w:space="0"/>
              <w:bottom w:val="single" w:color="auto" w:sz="4" w:space="0"/>
              <w:right w:val="single" w:color="000000" w:sz="4" w:space="0"/>
            </w:tcBorders>
            <w:shd w:val="clear" w:color="auto" w:fill="auto"/>
            <w:vAlign w:val="center"/>
          </w:tcPr>
          <w:p w14:paraId="58C9AA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9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00752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auto" w:sz="4" w:space="0"/>
              <w:right w:val="single" w:color="auto" w:sz="4" w:space="0"/>
            </w:tcBorders>
            <w:shd w:val="clear" w:color="auto" w:fill="auto"/>
            <w:noWrap/>
            <w:vAlign w:val="center"/>
          </w:tcPr>
          <w:p w14:paraId="1241E6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系统管理</w:t>
            </w:r>
          </w:p>
        </w:tc>
      </w:tr>
    </w:tbl>
    <w:p w14:paraId="77E2F1C7">
      <w:pPr>
        <w:pStyle w:val="3"/>
        <w:numPr>
          <w:ilvl w:val="0"/>
          <w:numId w:val="2"/>
        </w:numPr>
        <w:bidi w:val="0"/>
        <w:rPr>
          <w:rFonts w:hint="eastAsia"/>
          <w:highlight w:val="none"/>
          <w:lang w:val="en-US" w:eastAsia="zh-CN"/>
        </w:rPr>
      </w:pPr>
      <w:r>
        <w:rPr>
          <w:rFonts w:hint="eastAsia"/>
          <w:highlight w:val="none"/>
          <w:lang w:val="en-US" w:eastAsia="zh-CN"/>
        </w:rPr>
        <w:t>软件平台建设要求</w:t>
      </w:r>
    </w:p>
    <w:p w14:paraId="10F9E162">
      <w:pPr>
        <w:tabs>
          <w:tab w:val="left" w:pos="0"/>
        </w:tabs>
        <w:spacing w:before="156" w:beforeLines="50"/>
        <w:ind w:firstLine="0" w:firstLineChars="0"/>
        <w:outlineLvl w:val="2"/>
        <w:rPr>
          <w:rFonts w:hint="eastAsia" w:ascii="宋体" w:hAnsi="宋体" w:eastAsia="宋体" w:cs="宋体"/>
          <w:b/>
          <w:sz w:val="28"/>
          <w:szCs w:val="28"/>
          <w:highlight w:val="none"/>
        </w:rPr>
      </w:pPr>
      <w:bookmarkStart w:id="0" w:name="_Toc182836630"/>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一）</w:t>
      </w:r>
      <w:r>
        <w:rPr>
          <w:rFonts w:hint="eastAsia" w:ascii="宋体" w:hAnsi="宋体" w:eastAsia="宋体" w:cs="宋体"/>
          <w:b/>
          <w:sz w:val="28"/>
          <w:szCs w:val="28"/>
          <w:highlight w:val="none"/>
        </w:rPr>
        <w:t>总体技术需求</w:t>
      </w:r>
      <w:bookmarkEnd w:id="0"/>
    </w:p>
    <w:p w14:paraId="2E9A0CB1">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平台应具备自主研发的企业服务总线。</w:t>
      </w:r>
    </w:p>
    <w:p w14:paraId="5EC8D96C">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平台应具备可扩展性。投标人须提供弹性架构，支持二次开发，能够适应业务流程的变化；系统应保证接口封装良好，能够为第三方开发商提供系统集成接口。</w:t>
      </w:r>
    </w:p>
    <w:p w14:paraId="43AFABB2">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平台须具备易操作性。投标人须提供简洁、美观、直白的用户界面。符合windows标准以及浏览器通用方式，具备中文支持功能，提供向导式的安装界面。</w:t>
      </w:r>
    </w:p>
    <w:p w14:paraId="62098443">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平台应具备稳定性。投标人须保证平台全年稳定运行，避免因升级而影响平台正常运行。宕机时间应少于0.1%，平均故障间隔时间应超过三个月。</w:t>
      </w:r>
    </w:p>
    <w:p w14:paraId="38C5B475">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平台应具备可维护性。平台要专设元数据管理模块，用于统一维护系统的公共数据，平台须易于升级，具备错误问题远程分析与排除功能。</w:t>
      </w:r>
    </w:p>
    <w:p w14:paraId="6E95FE86">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平台应具备标准性。支持国家卫生行业相关规范，具备数据元值域、数据元、数据集、共享文档的维护和管理功能。</w:t>
      </w:r>
    </w:p>
    <w:p w14:paraId="4B1D4E67">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平台应具备可管理性。每个层次、每个对象都应提供标准的管理接口或管理界面；每个构件应提供应用架构总体设计规定的标准外部接口。</w:t>
      </w:r>
    </w:p>
    <w:p w14:paraId="55225623">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平台应具备安全性。平台应支持数据存储、数据传输、密钥管理等安全功能。平台须提供所有操作日志记录，具备防止篡改的审计追踪功能，所有操作日志保存时限不低于1年。</w:t>
      </w:r>
    </w:p>
    <w:p w14:paraId="5FA2FD4F">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平台应具备保障性。投标人须预先制定应急方案，以应对紧急情况，减少因硬件、自然灾害或人为因素造成的损失瘫痪情况下。</w:t>
      </w:r>
    </w:p>
    <w:p w14:paraId="63891345">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平台应采用模块化设计，各功能模块符合高内聚、低耦合的特征。</w:t>
      </w:r>
    </w:p>
    <w:p w14:paraId="0A2546B3">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平台应采用通用、成熟、可靠的开发框架和工具组件，核心开发框架应具有开放性。</w:t>
      </w:r>
    </w:p>
    <w:p w14:paraId="41CA2115">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平台应根据有关要求完成信息安全建设，重点加强网络安全、数据安全等建设。</w:t>
      </w:r>
    </w:p>
    <w:p w14:paraId="716CDD21">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平台应基于Web技术开发，采用浏览器层、Web服务器层、数据库层三层架构。</w:t>
      </w:r>
    </w:p>
    <w:p w14:paraId="1650D9BE">
      <w:pPr>
        <w:pStyle w:val="20"/>
        <w:numPr>
          <w:ilvl w:val="0"/>
          <w:numId w:val="3"/>
        </w:numPr>
        <w:ind w:left="425" w:leftChars="0" w:hanging="425" w:firstLineChars="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★平台应支持Oracle、Tidb等数据库，支持Windows、Linux等系统，且支持银河麒麟、centOS、统信、openEuler等国产化操作系统。</w:t>
      </w:r>
    </w:p>
    <w:p w14:paraId="3A95CEEB">
      <w:pPr>
        <w:tabs>
          <w:tab w:val="left" w:pos="0"/>
        </w:tabs>
        <w:spacing w:before="156" w:beforeLines="50"/>
        <w:ind w:firstLine="0" w:firstLineChars="0"/>
        <w:outlineLvl w:val="2"/>
        <w:rPr>
          <w:rFonts w:hint="eastAsia" w:ascii="宋体" w:hAnsi="宋体" w:eastAsia="宋体" w:cs="宋体"/>
          <w:b/>
          <w:bCs w:val="0"/>
          <w:sz w:val="28"/>
          <w:szCs w:val="28"/>
          <w:highlight w:val="none"/>
        </w:rPr>
      </w:pPr>
      <w:bookmarkStart w:id="1" w:name="_Toc182836631"/>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lang w:val="en-US" w:eastAsia="zh-CN"/>
        </w:rPr>
        <w:t>二）</w:t>
      </w:r>
      <w:r>
        <w:rPr>
          <w:rFonts w:hint="eastAsia" w:ascii="宋体" w:hAnsi="宋体" w:eastAsia="宋体" w:cs="宋体"/>
          <w:b/>
          <w:bCs w:val="0"/>
          <w:sz w:val="28"/>
          <w:szCs w:val="28"/>
          <w:highlight w:val="none"/>
        </w:rPr>
        <w:t>医共体平台参数</w:t>
      </w:r>
      <w:bookmarkEnd w:id="1"/>
    </w:p>
    <w:p w14:paraId="4167AA07">
      <w:pPr>
        <w:pStyle w:val="6"/>
        <w:jc w:val="both"/>
        <w:rPr>
          <w:rFonts w:hint="eastAsia" w:ascii="宋体" w:hAnsi="宋体" w:eastAsia="宋体" w:cs="宋体"/>
          <w:sz w:val="24"/>
          <w:szCs w:val="22"/>
          <w:highlight w:val="none"/>
        </w:rPr>
      </w:pPr>
      <w:bookmarkStart w:id="2" w:name="_Toc182836632"/>
      <w:r>
        <w:rPr>
          <w:rFonts w:hint="eastAsia" w:ascii="宋体" w:hAnsi="宋体" w:eastAsia="宋体" w:cs="宋体"/>
          <w:sz w:val="24"/>
          <w:szCs w:val="22"/>
          <w:highlight w:val="none"/>
        </w:rPr>
        <w:t>平台业务服务组件</w:t>
      </w:r>
      <w:bookmarkEnd w:id="2"/>
    </w:p>
    <w:p w14:paraId="738A5FCB">
      <w:pPr>
        <w:spacing w:before="120" w:after="120"/>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基础信息管理组件</w:t>
      </w:r>
    </w:p>
    <w:p w14:paraId="0D7A95DD">
      <w:pPr>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提供可视化的平台运维配置和状态监管服务，实现对平台的性能优化。</w:t>
      </w:r>
    </w:p>
    <w:p w14:paraId="4D97A4A6">
      <w:pPr>
        <w:pStyle w:val="14"/>
        <w:numPr>
          <w:ilvl w:val="0"/>
          <w:numId w:val="4"/>
        </w:numPr>
        <w:spacing w:after="0"/>
        <w:ind w:left="0" w:leftChars="0" w:firstLine="56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权限管理</w:t>
      </w:r>
    </w:p>
    <w:p w14:paraId="596BEE7D">
      <w:pPr>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菜单配置：平台模块、功能菜单已实现灵活可扩展，可根据业务需要对平台模块新增、修改、删除、停用、启用、刷新等，可根据业务需要对功能列表新增、修改、删除、批量同步、刷新等操作。</w:t>
      </w:r>
    </w:p>
    <w:p w14:paraId="33EBAC44">
      <w:pPr>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角色管理：包括配置角色名称、分配角色操作权限、设置角色操作权限功能等。可根据需要新增、修改、删除、停用、启用、刷新、查看角色，分配操作权限、分配角色权限功能。</w:t>
      </w:r>
    </w:p>
    <w:p w14:paraId="26D4CC2A">
      <w:pPr>
        <w:pStyle w:val="14"/>
        <w:numPr>
          <w:ilvl w:val="0"/>
          <w:numId w:val="4"/>
        </w:numPr>
        <w:spacing w:after="0"/>
        <w:ind w:left="0" w:leftChars="0" w:firstLine="56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系统参数</w:t>
      </w:r>
    </w:p>
    <w:p w14:paraId="3D56B8DC">
      <w:pPr>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支持参数体系管理，包括配置参数分类和参数列表等。</w:t>
      </w:r>
    </w:p>
    <w:p w14:paraId="74DFC765">
      <w:pPr>
        <w:pStyle w:val="14"/>
        <w:numPr>
          <w:ilvl w:val="0"/>
          <w:numId w:val="4"/>
        </w:numPr>
        <w:spacing w:after="0"/>
        <w:ind w:left="0" w:leftChars="0" w:firstLine="56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组织管理</w:t>
      </w:r>
    </w:p>
    <w:p w14:paraId="675B96E0">
      <w:pPr>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实现对机构、机构关系、部门、人员等的管理及业务数据对码。</w:t>
      </w:r>
    </w:p>
    <w:p w14:paraId="3B17DBE0">
      <w:pPr>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提供组织机构管理功能，对需要接入到平台组织机构进行注册管理，包括新增、修改、启用、停用、查看、搜索。</w:t>
      </w:r>
    </w:p>
    <w:p w14:paraId="7F9112D9">
      <w:pPr>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提供医护人员管理功能，包括根据业务需要对人员信息进行新增、修改、停用、启用、删除、打印工号等。并支持配置人员基本信息、其他信息（职工编号、性别、职称、职务、职级、民族、学历、性质、专家类型、医疗专长、简介等信息）、照片、个人签名、经历、科研成果等，支持对人员所属机构进行分配，分配角色等。</w:t>
      </w:r>
    </w:p>
    <w:p w14:paraId="3479CCFE">
      <w:pPr>
        <w:pStyle w:val="14"/>
        <w:numPr>
          <w:ilvl w:val="0"/>
          <w:numId w:val="4"/>
        </w:numPr>
        <w:spacing w:after="0"/>
        <w:ind w:left="0" w:leftChars="0" w:firstLine="56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基础管理</w:t>
      </w:r>
    </w:p>
    <w:p w14:paraId="455B6520">
      <w:pPr>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基础管理需根据业务需要对行政区划管理、基础编码管理、疾病编码管理、药品编码管理、医疗设备管理等。</w:t>
      </w:r>
    </w:p>
    <w:p w14:paraId="00D5FBC5">
      <w:pPr>
        <w:pStyle w:val="14"/>
        <w:numPr>
          <w:ilvl w:val="0"/>
          <w:numId w:val="4"/>
        </w:numPr>
        <w:spacing w:after="0"/>
        <w:ind w:left="0" w:leftChars="0" w:firstLine="560"/>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系统日志</w:t>
      </w:r>
    </w:p>
    <w:p w14:paraId="22374345">
      <w:pPr>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提供系统日志查看功能，支持基于平台系统及应用的日志管理功能，对系统运行状况和性能、系统接入交换情况、用户使用操作、数据库访问操作等等进行跟踪记录，并支持异常告警提示和日志分类归档功能，方便对系统的调试维护和操作追查。</w:t>
      </w:r>
    </w:p>
    <w:p w14:paraId="7408C004">
      <w:pPr>
        <w:spacing w:before="120" w:after="120"/>
        <w:ind w:left="0" w:leftChars="0" w:firstLine="0" w:firstLineChars="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注册服务组件</w:t>
      </w:r>
    </w:p>
    <w:p w14:paraId="72D0CC31">
      <w:pPr>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要求提供包括对个人、医疗卫生人员、医疗卫生机构、术语/字典的注册管理服务，对这些实体实现提供唯一的标识。同时针对各类实体形成各类注册库（如个人注册库、医疗卫生机构注册库等），每个注册库都应具有管理和解决单个实体具有多个标识符问题的能力，具体内容如下：</w:t>
      </w:r>
    </w:p>
    <w:p w14:paraId="5FB77E7A">
      <w:pPr>
        <w:pStyle w:val="20"/>
        <w:numPr>
          <w:ilvl w:val="0"/>
          <w:numId w:val="0"/>
        </w:numPr>
        <w:rPr>
          <w:rFonts w:hint="eastAsia" w:ascii="宋体" w:hAnsi="宋体" w:eastAsia="宋体" w:cs="宋体"/>
          <w:b/>
          <w:bCs/>
          <w:sz w:val="24"/>
          <w:szCs w:val="24"/>
          <w:highlight w:val="none"/>
          <w:lang w:val="en-GB"/>
        </w:rPr>
      </w:pPr>
      <w:r>
        <w:rPr>
          <w:rFonts w:hint="eastAsia" w:ascii="宋体" w:hAnsi="宋体" w:eastAsia="宋体" w:cs="宋体"/>
          <w:b/>
          <w:bCs/>
          <w:sz w:val="24"/>
          <w:szCs w:val="24"/>
          <w:highlight w:val="none"/>
          <w:lang w:val="en-GB"/>
        </w:rPr>
        <w:t>个人注册服务</w:t>
      </w:r>
    </w:p>
    <w:p w14:paraId="78D6912E">
      <w:pPr>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支持在一定区域管辖范围内，可以安全地保存和维护个人的健康标识号、基本信息，提供给医共体信息平台其他组件及POS应用所使用，并可为医疗就诊及公共卫生相关的业务系统提供人员身份识别功能的服务组件。个人注册服务形成一个个人注册库：</w:t>
      </w:r>
    </w:p>
    <w:p w14:paraId="27539F4B">
      <w:pPr>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其一，它是唯一的个人基本信息权威信息来源，用于医疗人口信息系统确认一个人是某个居民或患者。</w:t>
      </w:r>
    </w:p>
    <w:p w14:paraId="50814AB5">
      <w:pPr>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其二，解决在跨越多个系统时居民身份唯一性识别的问题。</w:t>
      </w:r>
    </w:p>
    <w:p w14:paraId="24F99198">
      <w:pPr>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个人注册服务由医院、基层医疗卫生机构和公共卫生机构来使用，完成居民身份的注册。</w:t>
      </w:r>
    </w:p>
    <w:p w14:paraId="261DEF11">
      <w:pPr>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个人注册服务应支持多种电子化的身份识别手段，包括居民健康卡、社会保障卡、第二代居民身份证等。</w:t>
      </w:r>
    </w:p>
    <w:p w14:paraId="4BE0C66C">
      <w:pPr>
        <w:pStyle w:val="20"/>
        <w:numPr>
          <w:ilvl w:val="0"/>
          <w:numId w:val="0"/>
        </w:numPr>
        <w:rPr>
          <w:rFonts w:hint="eastAsia" w:ascii="宋体" w:hAnsi="宋体" w:eastAsia="宋体" w:cs="宋体"/>
          <w:b/>
          <w:bCs/>
          <w:sz w:val="24"/>
          <w:szCs w:val="24"/>
          <w:highlight w:val="none"/>
          <w:lang w:val="en-GB"/>
        </w:rPr>
      </w:pPr>
      <w:r>
        <w:rPr>
          <w:rFonts w:hint="eastAsia" w:ascii="宋体" w:hAnsi="宋体" w:eastAsia="宋体" w:cs="宋体"/>
          <w:b/>
          <w:bCs/>
          <w:sz w:val="24"/>
          <w:szCs w:val="24"/>
          <w:highlight w:val="none"/>
          <w:lang w:val="en-GB"/>
        </w:rPr>
        <w:t>医疗卫生人员注册</w:t>
      </w:r>
    </w:p>
    <w:p w14:paraId="213472D3">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医疗卫生人员注册库应是一个单一的目录服务，内容应为区域内所有卫生管理机构的医疗服务提供者，包括全科医生、专科医生、护士、实验室医师、医学影像专业人员、疾病预防控制专业人员、妇幼保健人员及其他从事与居民健康服务相关的从业人员，系统为每一位医疗卫生人员分配一个唯一的标识，并提供给平台以及与平台交互的系统和用户所使用。</w:t>
      </w:r>
    </w:p>
    <w:p w14:paraId="2346776F">
      <w:pPr>
        <w:pStyle w:val="20"/>
        <w:numPr>
          <w:ilvl w:val="0"/>
          <w:numId w:val="0"/>
        </w:numPr>
        <w:rPr>
          <w:rFonts w:hint="eastAsia" w:ascii="宋体" w:hAnsi="宋体" w:eastAsia="宋体" w:cs="宋体"/>
          <w:b/>
          <w:bCs/>
          <w:sz w:val="24"/>
          <w:szCs w:val="24"/>
          <w:highlight w:val="none"/>
          <w:lang w:val="en-GB"/>
        </w:rPr>
      </w:pPr>
      <w:r>
        <w:rPr>
          <w:rFonts w:hint="eastAsia" w:ascii="宋体" w:hAnsi="宋体" w:eastAsia="宋体" w:cs="宋体"/>
          <w:b/>
          <w:bCs/>
          <w:sz w:val="24"/>
          <w:szCs w:val="24"/>
          <w:highlight w:val="none"/>
          <w:lang w:val="en-GB"/>
        </w:rPr>
        <w:t>医疗卫生机构注册服务</w:t>
      </w:r>
    </w:p>
    <w:p w14:paraId="484879BC">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要求通过建立医疗卫生机构注册库，实现提供区域内所有医疗机构的综合目录，相关的机构包括二三级医院、基层医疗卫生机构、疾病预防控制中心、卫生和计划生育综合执法局、妇幼保健和计划生育服务中心等。系统为每个机构分配唯一的标识，可以解决居民所获取的医疗卫生服务场所唯一性识别问题，从而保证在维护居民健康信息的不同系统中使用统一的规范化的标识符，同时也满足医共体信息平台层与下属医疗卫生机构服务点层的互联互通要求。</w:t>
      </w:r>
    </w:p>
    <w:p w14:paraId="09F5ADE1">
      <w:pPr>
        <w:pStyle w:val="20"/>
        <w:numPr>
          <w:ilvl w:val="0"/>
          <w:numId w:val="0"/>
        </w:numPr>
        <w:rPr>
          <w:rFonts w:hint="eastAsia" w:ascii="宋体" w:hAnsi="宋体" w:eastAsia="宋体" w:cs="宋体"/>
          <w:b/>
          <w:bCs/>
          <w:sz w:val="24"/>
          <w:szCs w:val="24"/>
          <w:highlight w:val="none"/>
          <w:lang w:val="en-GB"/>
        </w:rPr>
      </w:pPr>
      <w:r>
        <w:rPr>
          <w:rFonts w:hint="eastAsia" w:ascii="宋体" w:hAnsi="宋体" w:eastAsia="宋体" w:cs="宋体"/>
          <w:b/>
          <w:bCs/>
          <w:sz w:val="24"/>
          <w:szCs w:val="24"/>
          <w:highlight w:val="none"/>
          <w:lang w:val="en-GB"/>
        </w:rPr>
        <w:t>术语/字典注册服务</w:t>
      </w:r>
    </w:p>
    <w:p w14:paraId="3CDC841F">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要求建立术语和字典注册库，用来规范医疗卫生事件中所产生的信息含义的一致性问题。术语可由平台管理者进行注册、更新维护；字典既可由平台管理者又可由机构来提供注册、更新维护。</w:t>
      </w:r>
    </w:p>
    <w:p w14:paraId="78FD3B82">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标准查询：支持对已发布的数据标准进行查询，包括查看标准详情。</w:t>
      </w:r>
    </w:p>
    <w:p w14:paraId="0779A025">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数据集管理：支持对数据集分类、数据集进行管理，包括配置数据集分类代码、数据集分类名称、数据集标识、数据元标识符、数据字段等信息。可根据业务需要新增、修改、删除、停用/启用、查询等。</w:t>
      </w:r>
    </w:p>
    <w:p w14:paraId="46820643">
      <w:pPr>
        <w:spacing w:before="120" w:after="120"/>
        <w:ind w:left="0" w:leftChars="0" w:firstLine="0" w:firstLineChars="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居民主索引（MPI）</w:t>
      </w:r>
    </w:p>
    <w:p w14:paraId="43856273">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要求提供一种在医疗卫生机构中跨系统间相互共享引用患者标识的方式，支持从各种不同的子系统中取得患者的信息并进行组织，形成同一患者的唯一标识编码，根据此编码能找到分布在不同地域、不同系统的标准不统一的患者的所有医疗信息，同时消除重复的患者数据。</w:t>
      </w:r>
    </w:p>
    <w:p w14:paraId="3A51305D">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居民主索引服务（MPI）应借鉴 IHE PIX规范实现不同系统 ID 间的匹配，提供居民/患者的唯一身份识别，为居民健康档案信息和医疗服务交互共享提供基础。</w:t>
      </w:r>
    </w:p>
    <w:p w14:paraId="6C53F197">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提供病人唯一索引服务，要求通过MPI共享交换服务自动注册及归并患者信息，实现区域性唯一ID标识，与各种就诊卡（医保、市民卡等）号关联。</w:t>
      </w:r>
    </w:p>
    <w:p w14:paraId="01734FC8">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同时建立用户主信息的统一视图，实现居民健康档案、电子病历等多个应用关联。在系统建立过程中，无法自动关联的记录、相似度很高的记录产生成为任务，为数据管理者提供工具，让数据管理者在后期进行人工判断和记录归并。支持将关联错误的记录进行人工反解除关联操作，以保证系统数据质量的可维护性。具体内容如下：</w:t>
      </w:r>
    </w:p>
    <w:p w14:paraId="31180B65">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合并规则管理：支持对病人合并规则及合并规则明细进行统一管理，包括配置规则代码、规则名称、规则匹配率等规则属性及配置数据类型、字段等规则明细属性。可根据业务需要新增、修改、停用/启用、查询病人合并规则，重新载入规则，新增、修改、停用/启用合并规则明细。</w:t>
      </w:r>
    </w:p>
    <w:p w14:paraId="03638491">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合并记录查询：支持查询病人合并历史记录，包括查看详情。选择合并记录下的病人，合并历史记录中会加载展示所有与所选病人合并过的病人信息。</w:t>
      </w:r>
    </w:p>
    <w:p w14:paraId="64CEABD4">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病人合并管理：支持对根据病人合并规则筛选出的病人进行合并操作。选择病人合并管理下的病人，页面下方会展示所有与所选病人合并过的病人的信息。</w:t>
      </w:r>
    </w:p>
    <w:p w14:paraId="5338D9B6">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病人信息管理：支持对患者主索引进行管理，包括查看患者域、查看操作记录、修改、删除、查看详情、查询、查看患者交叉索引。</w:t>
      </w:r>
    </w:p>
    <w:p w14:paraId="02DADA73">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定时任务配置管理：支持对定时任务进行管理，包括修改定时任务代码、定时任务表达式。</w:t>
      </w:r>
    </w:p>
    <w:p w14:paraId="2A8F7442">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MPI配置管理：支持对不同数据源（公卫、医疗、人口等）的人员建档表字段与平台主索引表字段的对应关系进行统一管理，包括配置表名、姓名、MPI、数据源、表名、主键名称、业务时间、证件类型、证件号码等属性。可根据业务需要新增、修改、删除、查看、查询。</w:t>
      </w:r>
    </w:p>
    <w:p w14:paraId="7AF6F0EB">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数据源配置管理：支持对患者信息的来源进行统一管理，包括对数据源进行新增、修改、删除。</w:t>
      </w:r>
    </w:p>
    <w:p w14:paraId="69F48C74">
      <w:pPr>
        <w:spacing w:before="120" w:after="120"/>
        <w:ind w:left="0" w:leftChars="0" w:firstLine="0" w:firstLineChars="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认证服务管理组件</w:t>
      </w:r>
    </w:p>
    <w:p w14:paraId="58A67811">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满足医共体各系统间的安全认证管理，统一身份认证、统一权限管理等。任何从用户端发现的访问业务系统的数据或请求，都需要经过认证服务系统验证和授权之后方可进行访问。平台应采用基于安全准入的访问控制，以防止“恶意攻击者”或内部人员的越权或非法篡改数据(谁修改的数据都有记录)。</w:t>
      </w:r>
    </w:p>
    <w:p w14:paraId="1B395A3E">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通过单点登录系统能够实现该区域内的各个业务系统能够统一登录入口，从而实现只需登录一次就可以访问其它的应用系统,各个业务系统之间能够快速切换，避免重复登录，所有应用系统共享一个身份认证系统。</w:t>
      </w:r>
    </w:p>
    <w:p w14:paraId="1E2D4D9E">
      <w:pPr>
        <w:spacing w:before="120" w:after="120"/>
        <w:ind w:left="0" w:leftChars="0" w:firstLine="0" w:firstLineChars="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电子病历档案服务组件</w:t>
      </w:r>
    </w:p>
    <w:p w14:paraId="7D52E7DC">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支持处理医共体信息平台内与数据定位和管理相关的复杂任务，该服务包括相关的索引信息，这些索引链接不同存储服务所保存的数据到一个特定的个人、医疗卫生人员、医疗卫生机构或者可以实时获取这些数据的服务点。电子病历档案服务还负责分析来自外部资源的信息，并恰当地保存这些数据到存储库中，可以反向地响应外部医疗卫生服务点的检索、汇聚和返回数据。电子病历档案服务也知道其他平台可能在客户端保存的附加数据，也能够对那些医共体信息平台转发数据请求，并合并返回数据和本地信息。反过来，电子病历档案服务也能响应来自其他区域信息平台的信息请求。电子病历档案服务是平台系统架构的核心组件。该服务负责实现平台互联互通性规范，还可能使用由医共体信息平台内提供的组件和服务同其他区域平台互动来完成某一项事务。具体内容如下：</w:t>
      </w:r>
    </w:p>
    <w:p w14:paraId="1D0D5363">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档案管理：支持健康档案管理的业务操作，包括建档、归档、迁档、档案合并和拆分以及档案的终结，对于健康档案的管理由市、县两级专门机构负责。</w:t>
      </w:r>
    </w:p>
    <w:p w14:paraId="432B3E6F">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档案整合服务：支持基于主索引的建立，将患者所产生的业务活动按照时间、地点、事件进行有序的整合，形成患者全生命周期的档案管理。</w:t>
      </w:r>
    </w:p>
    <w:p w14:paraId="5A52A659">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档案存储服务：支持存储健康档案的信息。根据健康档案信息的分类，健康档案的存储服务应分为九个存储库：个人基本信息存储库、主要疾病和健康问题摘要存储库、儿童保健存储库、妇女保健存储库、疾病控制存储库、疾病管理存储库、医疗服务存储库以及计划生育存储库及其它存储库。</w:t>
      </w:r>
    </w:p>
    <w:p w14:paraId="54EB8A0B">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档案调阅服务：支持基于健康档案存储服务，提供卫生计生机构之间的信息共享服务和业务协同。根据健康档案信息的分类和服务需要，卫生计生信息共享和协同服务应分为三个一级类目：个人基本信息域、公共卫生域以及医疗服务域，公共卫生又可以进一步细分为儿童保健、妇女保健、疾病控制、疾病管理，医疗服务域细分为诊断信息域、药品处方域、临床检验域、医学影像域。健康档案的调阅服务应用于医共体信息平台内与数据定位和管理相关的复杂任务。该服务包括相关的组装服务、标准化服务以及数据访问服务。健康档案服务负责分析来自外部资源的请求，响应外部医疗服务点的检索、汇聚和返回数据，也可以反向的储存这些数据到存储库中。</w:t>
      </w:r>
    </w:p>
    <w:p w14:paraId="3C68F271">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档案组装服务：支持通过接口的方式将平台的健康档案数据提供给第三方系统，第三方系统可以自由组装获取到的数据。并且支持平台可以对对外提供的数据进行限制，比如只给第三方系统提供健康档案中的门诊数据。</w:t>
      </w:r>
    </w:p>
    <w:p w14:paraId="47A4983C">
      <w:pPr>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档案调阅提醒服务：支持平台自动通过医生站判断当前居民是否已经建立居民健康档案，如果未建，则提示医生要为该居民建立健康档案；如已建，则提示医生该居民有可以供调阅的健康档案。同时对病人的重点健康信息进行提醒。</w:t>
      </w:r>
    </w:p>
    <w:p w14:paraId="0277EA95">
      <w:pPr>
        <w:spacing w:before="120" w:after="120"/>
        <w:ind w:left="0" w:leftChars="0" w:firstLine="0" w:firstLineChars="0"/>
        <w:jc w:val="both"/>
        <w:rPr>
          <w:rFonts w:hint="eastAsia" w:ascii="宋体" w:hAnsi="宋体" w:eastAsia="宋体" w:cs="宋体"/>
          <w:b/>
          <w:bCs/>
          <w:sz w:val="24"/>
          <w:szCs w:val="24"/>
          <w:highlight w:val="none"/>
        </w:rPr>
      </w:pPr>
      <w:r>
        <w:rPr>
          <w:rFonts w:hint="eastAsia" w:ascii="宋体" w:hAnsi="宋体" w:eastAsia="宋体" w:cs="宋体"/>
          <w:sz w:val="24"/>
          <w:szCs w:val="24"/>
        </w:rPr>
        <w:t>★</w:t>
      </w:r>
      <w:r>
        <w:rPr>
          <w:rFonts w:hint="eastAsia" w:ascii="宋体" w:hAnsi="宋体" w:eastAsia="宋体" w:cs="宋体"/>
          <w:b/>
          <w:bCs/>
          <w:sz w:val="24"/>
          <w:szCs w:val="24"/>
          <w:highlight w:val="none"/>
        </w:rPr>
        <w:t>数据整合功能组件</w:t>
      </w:r>
    </w:p>
    <w:p w14:paraId="35507DDD">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数据整合功能服务应包括数据整合、复制、ETL功能等功能，具体内容如下：</w:t>
      </w:r>
    </w:p>
    <w:p w14:paraId="0B050BC6">
      <w:pPr>
        <w:pStyle w:val="20"/>
        <w:numPr>
          <w:ilvl w:val="0"/>
          <w:numId w:val="0"/>
        </w:numPr>
        <w:ind w:left="420" w:leftChars="0"/>
        <w:rPr>
          <w:rFonts w:hint="eastAsia" w:ascii="宋体" w:hAnsi="宋体" w:eastAsia="宋体" w:cs="宋体"/>
          <w:sz w:val="22"/>
          <w:szCs w:val="16"/>
          <w:highlight w:val="none"/>
        </w:rPr>
      </w:pPr>
      <w:r>
        <w:rPr>
          <w:rFonts w:hint="eastAsia" w:ascii="宋体" w:hAnsi="宋体" w:eastAsia="宋体" w:cs="宋体"/>
          <w:sz w:val="22"/>
          <w:szCs w:val="16"/>
          <w:highlight w:val="none"/>
        </w:rPr>
        <w:t>数据整合</w:t>
      </w:r>
    </w:p>
    <w:p w14:paraId="0D4A4092">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应提供对居民健康档案数据、电子病历数据和人口数据的采集整合处理服务，包括实时的数据采集和批量数据采集整合处理等。</w:t>
      </w:r>
    </w:p>
    <w:p w14:paraId="43C9DBC2">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数据整合功能组件应充分支持“主动采集”和“主动推送”两种数据集成方式。</w:t>
      </w:r>
    </w:p>
    <w:p w14:paraId="7DE63632">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前者方式是通过前置机从卫生健康机构的各业务系统中主动抓取所需数据，经过清洗、校验等处理使数据标准化后上传至平台；</w:t>
      </w:r>
    </w:p>
    <w:p w14:paraId="06DDE367">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后者方式则是卫生健康机构的各业务系统按照统一标准，向前置机的中间表写入对应的、标准、规范的数据，最后经前置机上传至平台。在当前现状条件下，平台前置服务需同时支持两种方式的数据集成，而根据长远的发展，逐步加强区域内各机构信息系统的标准化建设，统一按“主动推送”方式确保更加标准和实时的数据上传和下载等操作。</w:t>
      </w:r>
    </w:p>
    <w:p w14:paraId="4F4D63CA">
      <w:pPr>
        <w:pStyle w:val="20"/>
        <w:numPr>
          <w:ilvl w:val="0"/>
          <w:numId w:val="0"/>
        </w:numPr>
        <w:ind w:left="420" w:leftChars="0"/>
        <w:rPr>
          <w:rFonts w:hint="eastAsia" w:ascii="宋体" w:hAnsi="宋体" w:eastAsia="宋体" w:cs="宋体"/>
          <w:sz w:val="22"/>
          <w:szCs w:val="16"/>
          <w:highlight w:val="none"/>
        </w:rPr>
      </w:pPr>
      <w:r>
        <w:rPr>
          <w:rFonts w:hint="eastAsia" w:ascii="宋体" w:hAnsi="宋体" w:eastAsia="宋体" w:cs="宋体"/>
          <w:sz w:val="22"/>
          <w:szCs w:val="16"/>
          <w:highlight w:val="none"/>
        </w:rPr>
        <w:t>基于国家规范和平台标准提供数据校验和交换。</w:t>
      </w:r>
    </w:p>
    <w:p w14:paraId="0D63FACA">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数据校验：要求提供全面的数据结构解析与质量保障技术，在数据源机构中完成数据质量校验，并支持数据校验标准统一下发，提供完备的数据质量校验报告。包括多重校验保障、双向校验报告以及补偿重传机制。</w:t>
      </w:r>
    </w:p>
    <w:p w14:paraId="6C77B737">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数据交换：要求提供不同部门机构与平台进行数据交互的标准通道，包括SOAP/HTTP、JMP/MQ、Socket等，以中立性的技术协议、统一接口支撑部门机构与医共体信息平台之间的数据交换。无论平台应用及业务应用使用何种编程语言和开发平台，都可通过标准协议方式实现基于标准通道的服务接入与访问。</w:t>
      </w:r>
    </w:p>
    <w:p w14:paraId="283252F5">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复制功能：要求在现有的平台内的系统或数据库之前提供数据复制功能。</w:t>
      </w:r>
    </w:p>
    <w:p w14:paraId="424BB39B">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 xml:space="preserve">ETL功能：支持针对已采集的数据分析生产库，通过制定的数据加载、清洗、转换规则进行自动加工形成数据仓库，进而根据需要，经进一步的数据加工（ETL）作业，建立面向不同数据分析应用的数据集市。某些数据根据业务需要还需人工数据加工核对。然后将加工后的数据存入不同应用的数据集市，供数据统计分析和决策支持使用。提供从存储库中抽取、转换和装载数据的信息加工转换处理功能，以生成可在医共体信息平台范围内分析利用的各种数据资源。 </w:t>
      </w:r>
    </w:p>
    <w:p w14:paraId="7B2DE453">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数据存储服务组件</w:t>
      </w:r>
    </w:p>
    <w:p w14:paraId="7E5FD0C6">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支持居民健康档案存储服务、电子病历存储服务和全员人口信息存储服务，以及相应对接接口的开发。具体内容如下：</w:t>
      </w:r>
    </w:p>
    <w:p w14:paraId="2DF5FE57">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居民健康档案存储服务：要求围绕健康档案七大数据域提供存储服务，主要包括个人基本信息数据域、主要疾病和健康问题摘要数据域、儿童保健数据域、妇女保健数据域、疾病控制数据域、疾病管理数据域以及医疗服务数据域。</w:t>
      </w:r>
    </w:p>
    <w:p w14:paraId="1928F310">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电子病历存储服务：要求主要围绕电子病历的结构化病历数据、医学影像文件数据和电子病历临床文档数据（CDA格式）提供存储服务，以满足亟需基础业务协同应用。</w:t>
      </w:r>
    </w:p>
    <w:p w14:paraId="3E38BCA8">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全员人口信息存储服务：要求主要围绕居民基本信息，户籍信息提供存储服务，同时支持后续从数据共享交换平台获取到的全员人口信息提供存储服务。</w:t>
      </w:r>
    </w:p>
    <w:p w14:paraId="3611AC94">
      <w:pPr>
        <w:numPr>
          <w:ilvl w:val="4"/>
          <w:numId w:val="0"/>
        </w:numPr>
        <w:tabs>
          <w:tab w:val="left" w:pos="360"/>
        </w:tabs>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数据管理功能组件</w:t>
      </w:r>
    </w:p>
    <w:p w14:paraId="3AA6FEFF">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支持利用计算机硬件和软件技术对数据进行有效的收集、存储、处理和应用，其目的在于充分有效地发挥数据的作用，实现数据有效管理的关键是数据组织。具体内容如下：</w:t>
      </w:r>
    </w:p>
    <w:p w14:paraId="16EC4CCE">
      <w:pPr>
        <w:pStyle w:val="20"/>
        <w:numPr>
          <w:ilvl w:val="0"/>
          <w:numId w:val="0"/>
        </w:numPr>
        <w:ind w:left="420" w:leftChars="0"/>
        <w:rPr>
          <w:rFonts w:hint="eastAsia" w:ascii="宋体" w:hAnsi="宋体" w:eastAsia="宋体" w:cs="宋体"/>
          <w:sz w:val="22"/>
          <w:szCs w:val="16"/>
          <w:highlight w:val="none"/>
        </w:rPr>
      </w:pPr>
      <w:r>
        <w:rPr>
          <w:rFonts w:hint="eastAsia" w:ascii="宋体" w:hAnsi="宋体" w:eastAsia="宋体" w:cs="宋体"/>
          <w:sz w:val="22"/>
          <w:szCs w:val="16"/>
          <w:highlight w:val="none"/>
        </w:rPr>
        <w:t>文档注册功能</w:t>
      </w:r>
    </w:p>
    <w:p w14:paraId="7D14EFA5">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支持根据文档的内容维护每一个注册文档的元数据，并包括在文档库中存储的地址。文档注册可根据文档用户的特定查询条件返回文档（集）。主要功能包括提供文档元数据的采集、抽取、转换等。</w:t>
      </w:r>
    </w:p>
    <w:p w14:paraId="2DB055EC">
      <w:pPr>
        <w:pStyle w:val="20"/>
        <w:numPr>
          <w:ilvl w:val="0"/>
          <w:numId w:val="0"/>
        </w:numPr>
        <w:ind w:left="420" w:leftChars="0"/>
        <w:rPr>
          <w:rFonts w:hint="eastAsia" w:ascii="宋体" w:hAnsi="宋体" w:eastAsia="宋体" w:cs="宋体"/>
          <w:sz w:val="22"/>
          <w:szCs w:val="16"/>
          <w:highlight w:val="none"/>
        </w:rPr>
      </w:pPr>
      <w:r>
        <w:rPr>
          <w:rFonts w:hint="eastAsia" w:ascii="宋体" w:hAnsi="宋体" w:eastAsia="宋体" w:cs="宋体"/>
          <w:sz w:val="22"/>
          <w:szCs w:val="16"/>
          <w:highlight w:val="none"/>
        </w:rPr>
        <w:t>事件注册功能</w:t>
      </w:r>
    </w:p>
    <w:p w14:paraId="6D015820">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实现区域内医疗卫生信息系统之间对人口健康信息的共享和交换，在区域内部以居民或患者为单位，对居民获得的卫生服务活动的事件信息进行注册。事件注册本质是建立一个事件目录。目录中的每个条目由描述该事件的关键信息构成，实际操作时，应该提取文档中与事件相关的元数据进行注册，同时，事件信息将被作为患者与文档之间的关联关系，便于使用者可以通过事件的途径获取相关的文档。</w:t>
      </w:r>
    </w:p>
    <w:p w14:paraId="301F3A96">
      <w:pPr>
        <w:pStyle w:val="20"/>
        <w:numPr>
          <w:ilvl w:val="0"/>
          <w:numId w:val="0"/>
        </w:numPr>
        <w:ind w:left="420" w:leftChars="0"/>
        <w:rPr>
          <w:rFonts w:hint="eastAsia" w:ascii="宋体" w:hAnsi="宋体" w:eastAsia="宋体" w:cs="宋体"/>
          <w:sz w:val="22"/>
          <w:szCs w:val="16"/>
          <w:highlight w:val="none"/>
        </w:rPr>
      </w:pPr>
      <w:r>
        <w:rPr>
          <w:rFonts w:hint="eastAsia" w:ascii="宋体" w:hAnsi="宋体" w:eastAsia="宋体" w:cs="宋体"/>
          <w:sz w:val="22"/>
          <w:szCs w:val="16"/>
          <w:highlight w:val="none"/>
        </w:rPr>
        <w:t>索引服务功能</w:t>
      </w:r>
    </w:p>
    <w:p w14:paraId="36E9EEF8">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提供区域人口健康信息平台所有关于居民的卫健服务事件信息，包括居民何时、何地、接受过何种卫健服务，并产生了哪些数据和文档。索引服务主要记录两大类的信息，一是卫健服务事件信息，另一类则为卫健服务信息文档目录信息。信息资源中心的所有数据将围绕索引服务信息实现关联和应用管理，平台用户在授权的情况下，可以通过索引服务从业务系统查看如某居民的健康事件信息，以及事件信息所涉及的文档目录及摘要等信息。平台数据管理索引服务结合数据存储服务便可实现文档信息的即时展示，使用户更多的了解居民既往的健康情况。</w:t>
      </w:r>
    </w:p>
    <w:p w14:paraId="0B8791E9">
      <w:pPr>
        <w:pStyle w:val="20"/>
        <w:numPr>
          <w:ilvl w:val="0"/>
          <w:numId w:val="0"/>
        </w:numPr>
        <w:ind w:left="420" w:leftChars="0"/>
        <w:rPr>
          <w:rFonts w:hint="eastAsia" w:ascii="宋体" w:hAnsi="宋体" w:eastAsia="宋体" w:cs="宋体"/>
          <w:sz w:val="22"/>
          <w:szCs w:val="16"/>
          <w:highlight w:val="none"/>
        </w:rPr>
      </w:pPr>
      <w:r>
        <w:rPr>
          <w:rFonts w:hint="eastAsia" w:ascii="宋体" w:hAnsi="宋体" w:eastAsia="宋体" w:cs="宋体"/>
          <w:sz w:val="22"/>
          <w:szCs w:val="16"/>
          <w:highlight w:val="none"/>
        </w:rPr>
        <w:t>存储内容</w:t>
      </w:r>
    </w:p>
    <w:p w14:paraId="73901187">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承接本次建设平台信息获取服务所加载的数据集并实现按数据提供将原始数据集归档。根据业务需求和技术能力具体实现可做多种策略选择：“基于自定义建模的关系数据存储”，或“基于自定义建模的关系数据存储+基于主数据管理模式的操作数据存储”。</w:t>
      </w:r>
    </w:p>
    <w:p w14:paraId="625A9EBA">
      <w:pPr>
        <w:pStyle w:val="20"/>
        <w:numPr>
          <w:ilvl w:val="0"/>
          <w:numId w:val="0"/>
        </w:numPr>
        <w:ind w:left="420" w:leftChars="0"/>
        <w:rPr>
          <w:rFonts w:hint="eastAsia" w:ascii="宋体" w:hAnsi="宋体" w:eastAsia="宋体" w:cs="宋体"/>
          <w:sz w:val="22"/>
          <w:szCs w:val="16"/>
          <w:highlight w:val="none"/>
        </w:rPr>
      </w:pPr>
      <w:r>
        <w:rPr>
          <w:rFonts w:hint="eastAsia" w:ascii="宋体" w:hAnsi="宋体" w:eastAsia="宋体" w:cs="宋体"/>
          <w:sz w:val="22"/>
          <w:szCs w:val="16"/>
          <w:highlight w:val="none"/>
        </w:rPr>
        <w:t>存储模型设计</w:t>
      </w:r>
    </w:p>
    <w:p w14:paraId="7C59BCB7">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要求采用传统的ANSI三层数据库模型(外层、逻辑或内层、物理层)来设计MML与医疗数据相关存储模型。</w:t>
      </w:r>
    </w:p>
    <w:p w14:paraId="7515E3CC">
      <w:pPr>
        <w:pStyle w:val="20"/>
        <w:numPr>
          <w:ilvl w:val="0"/>
          <w:numId w:val="0"/>
        </w:numPr>
        <w:ind w:left="420" w:leftChars="0"/>
        <w:rPr>
          <w:rFonts w:hint="eastAsia" w:ascii="宋体" w:hAnsi="宋体" w:eastAsia="宋体" w:cs="宋体"/>
          <w:sz w:val="22"/>
          <w:szCs w:val="16"/>
          <w:highlight w:val="none"/>
        </w:rPr>
      </w:pPr>
      <w:r>
        <w:rPr>
          <w:rFonts w:hint="eastAsia" w:ascii="宋体" w:hAnsi="宋体" w:eastAsia="宋体" w:cs="宋体"/>
          <w:sz w:val="22"/>
          <w:szCs w:val="16"/>
          <w:highlight w:val="none"/>
        </w:rPr>
        <w:t>存储模式设计</w:t>
      </w:r>
    </w:p>
    <w:p w14:paraId="42190CB6">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要求存储提供统一的管理界面，实现存储系统的集中部署和监控；实现数据并行存去、支持多副本、N+M数据保护模式。</w:t>
      </w:r>
    </w:p>
    <w:p w14:paraId="25BF504C">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数据仓库服务组件</w:t>
      </w:r>
    </w:p>
    <w:p w14:paraId="78A68D62">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要求能够为业务数据综合统计分析和辅助决策提供支撑服务。基于数据仓库技术能够实现利用现有数据，实现管理辅助决策。</w:t>
      </w:r>
    </w:p>
    <w:p w14:paraId="521D390E">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数据仓库是一个面向主题的、集成的、相对稳定的、反映历史变化的数据集合，在汇总数据的基础之上，支持数据发掘、多维数据分析等当今尖端技术和传统的查询及表报功能，用于支持管理决策。作为区域卫生信息平台特定的优化读取的性能模型，数据仓库的任务是提供一个独立的平台，数据能被转换成可操作的、可搜索的、可管理的和可获得的，而不影响信息平台系统组件所需的关键性能服务水平。必须支持分析、研究和管理汇集在信息平台内的运行数据相关的价值。为提高数据分析效率，构建数据仓库。</w:t>
      </w:r>
    </w:p>
    <w:p w14:paraId="31D6E684">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数据仓库应按照数据资源目录进行划分的汇总数据，例如，门诊、住院、手术、检查、检验等患者诊疗数据，作为上层数据集市的底层基础。支持数据集市的建设，能根据分析的专题进行数据建模，为BI工作提供数据源。</w:t>
      </w:r>
    </w:p>
    <w:p w14:paraId="59CE4D37">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数据仓库主要包括以下内容：</w:t>
      </w:r>
    </w:p>
    <w:p w14:paraId="0E496A3C">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 xml:space="preserve">数据仓库数据库：作为整个数据仓库环境的核心，是数据存放的地方和提供对数据检索的支持。相对于操纵型数据库来说其突出的特点是对海量数据的支持和快速的检索技术。 </w:t>
      </w:r>
    </w:p>
    <w:p w14:paraId="53951CAF">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 xml:space="preserve">数据抽取工具：支持把数据进行必要的转化、整理，再存放到数据仓库内。数据转换都包括，删除对决策应用没有意义的数据段；转换到统一的数据名称和定义；计算统计和衍生数据；给缺值数据赋给缺省值；把不同的数据定义方式统一。 </w:t>
      </w:r>
    </w:p>
    <w:p w14:paraId="5D535B38">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数据挖掘工具：可以利用数据仓库中的大量数据中获取有效的、新颖的、潜在有用的、最终可理解的模式的过程。</w:t>
      </w:r>
    </w:p>
    <w:p w14:paraId="7E05EDCB">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双向转诊服务组件</w:t>
      </w:r>
    </w:p>
    <w:p w14:paraId="4AF48169">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满足双向转诊相关业务功能需要，构建转诊相关服务应用组件。包括：转诊机构配置、转诊科室配置、转诊流程设定、转诊申请服务、转诊审核服务、转诊接收服务、转诊提醒服务。</w:t>
      </w:r>
    </w:p>
    <w:p w14:paraId="2F39F0A0">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转诊机构配置：医共体信息平台支持根据实际医共体建设情况需要，配置可上、下转诊对应的医疗机构信息。</w:t>
      </w:r>
    </w:p>
    <w:p w14:paraId="16268D64">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转诊科室配置：医共体信息平台支持对转诊医疗机构的科室进行管理配置。</w:t>
      </w:r>
    </w:p>
    <w:p w14:paraId="40C4426E">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转诊流程设定：医共体信息平台支持对双向转诊的流程设定。</w:t>
      </w:r>
    </w:p>
    <w:p w14:paraId="7339E2D6">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转诊申请服务：医共体信息平台支持医疗机构提交转诊申请服务。</w:t>
      </w:r>
    </w:p>
    <w:p w14:paraId="7E5B8BAF">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转诊审核服务：医共体信息平台支持对转诊患者信息进行审核服务。</w:t>
      </w:r>
    </w:p>
    <w:p w14:paraId="63E865D9">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转诊接收服务：医共体信息平台支持转诊医疗机构对转诊患者进行接收服务。</w:t>
      </w:r>
    </w:p>
    <w:p w14:paraId="0DD76FA1">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转诊提醒服务：医共体信息平台支持转诊流程环节提醒服务。</w:t>
      </w:r>
    </w:p>
    <w:p w14:paraId="17A55A4D">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综合监管服务组件</w:t>
      </w:r>
    </w:p>
    <w:p w14:paraId="6C86A7DB">
      <w:pPr>
        <w:rPr>
          <w:rFonts w:hint="eastAsia" w:ascii="宋体" w:hAnsi="宋体" w:eastAsia="宋体" w:cs="宋体"/>
          <w:sz w:val="22"/>
          <w:szCs w:val="16"/>
          <w:highlight w:val="none"/>
        </w:rPr>
      </w:pPr>
      <w:r>
        <w:rPr>
          <w:rFonts w:hint="eastAsia" w:ascii="宋体" w:hAnsi="宋体" w:eastAsia="宋体" w:cs="宋体"/>
          <w:sz w:val="22"/>
          <w:szCs w:val="16"/>
          <w:highlight w:val="none"/>
        </w:rPr>
        <w:t>满足综合监管服务要求，医共体信息平台提供综合监管相关服务应用组件。包括：监管指标管理服务、监管查询管理服务、监管大屏管理服务、微信监管指标服务。</w:t>
      </w:r>
    </w:p>
    <w:p w14:paraId="15116DD9">
      <w:pPr>
        <w:rPr>
          <w:rFonts w:hint="eastAsia" w:ascii="宋体" w:hAnsi="宋体" w:eastAsia="宋体" w:cs="宋体"/>
          <w:sz w:val="22"/>
          <w:szCs w:val="16"/>
          <w:highlight w:val="none"/>
        </w:rPr>
      </w:pPr>
      <w:r>
        <w:rPr>
          <w:rFonts w:hint="eastAsia" w:ascii="宋体" w:hAnsi="宋体" w:eastAsia="宋体" w:cs="宋体"/>
          <w:sz w:val="22"/>
          <w:szCs w:val="16"/>
          <w:highlight w:val="none"/>
        </w:rPr>
        <w:t>监管指标管理服务：医共体信息平台支持对综合监管的统计指标管理服务。</w:t>
      </w:r>
    </w:p>
    <w:p w14:paraId="737E4C6D">
      <w:pPr>
        <w:rPr>
          <w:rFonts w:hint="eastAsia" w:ascii="宋体" w:hAnsi="宋体" w:eastAsia="宋体" w:cs="宋体"/>
          <w:sz w:val="22"/>
          <w:szCs w:val="16"/>
          <w:highlight w:val="none"/>
        </w:rPr>
      </w:pPr>
      <w:r>
        <w:rPr>
          <w:rFonts w:hint="eastAsia" w:ascii="宋体" w:hAnsi="宋体" w:eastAsia="宋体" w:cs="宋体"/>
          <w:sz w:val="22"/>
          <w:szCs w:val="16"/>
          <w:highlight w:val="none"/>
        </w:rPr>
        <w:t>监管查询管理服务：医共体信息平台支持对综合监管的业务统计查询管理服务。</w:t>
      </w:r>
    </w:p>
    <w:p w14:paraId="3607CB66">
      <w:pPr>
        <w:rPr>
          <w:rFonts w:hint="eastAsia" w:ascii="宋体" w:hAnsi="宋体" w:eastAsia="宋体" w:cs="宋体"/>
          <w:sz w:val="22"/>
          <w:szCs w:val="16"/>
          <w:highlight w:val="none"/>
        </w:rPr>
      </w:pPr>
      <w:r>
        <w:rPr>
          <w:rFonts w:hint="eastAsia" w:ascii="宋体" w:hAnsi="宋体" w:eastAsia="宋体" w:cs="宋体"/>
          <w:sz w:val="22"/>
          <w:szCs w:val="16"/>
          <w:highlight w:val="none"/>
        </w:rPr>
        <w:t>监管大屏管理服务：医共体信息平台支持对综合监管查询监测汇报展示大屏服务。</w:t>
      </w:r>
    </w:p>
    <w:p w14:paraId="34644023">
      <w:pPr>
        <w:rPr>
          <w:rFonts w:hint="eastAsia" w:ascii="宋体" w:hAnsi="宋体" w:eastAsia="宋体" w:cs="宋体"/>
          <w:sz w:val="22"/>
          <w:szCs w:val="16"/>
          <w:highlight w:val="none"/>
        </w:rPr>
      </w:pPr>
      <w:r>
        <w:rPr>
          <w:rFonts w:hint="eastAsia" w:ascii="宋体" w:hAnsi="宋体" w:eastAsia="宋体" w:cs="宋体"/>
          <w:sz w:val="22"/>
          <w:szCs w:val="16"/>
          <w:highlight w:val="none"/>
        </w:rPr>
        <w:t>微信监管管理服务：医共体信息平台支持对微信监管指标配置、管理服务。</w:t>
      </w:r>
    </w:p>
    <w:p w14:paraId="5E64FBD0">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慢病中心服务组件</w:t>
      </w:r>
    </w:p>
    <w:p w14:paraId="4DD27565">
      <w:pPr>
        <w:rPr>
          <w:rFonts w:hint="eastAsia" w:ascii="宋体" w:hAnsi="宋体" w:eastAsia="宋体" w:cs="宋体"/>
          <w:sz w:val="22"/>
          <w:szCs w:val="16"/>
          <w:highlight w:val="none"/>
        </w:rPr>
      </w:pPr>
      <w:r>
        <w:rPr>
          <w:rFonts w:hint="eastAsia" w:ascii="宋体" w:hAnsi="宋体" w:eastAsia="宋体" w:cs="宋体"/>
          <w:sz w:val="22"/>
          <w:szCs w:val="16"/>
          <w:highlight w:val="none"/>
        </w:rPr>
        <w:t>满足慢病管理中心业务需要，医共体平台提供慢病中心服务组件。包括慢病中心机构配置、慢病人群管理、治疗方案制定、治疗效果跟踪、预警指标设置等。</w:t>
      </w:r>
    </w:p>
    <w:p w14:paraId="4168051E">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健康档案服务组件</w:t>
      </w:r>
    </w:p>
    <w:p w14:paraId="6FC331EB">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lang w:val="en-GB"/>
        </w:rPr>
        <w:t>支</w:t>
      </w:r>
      <w:r>
        <w:rPr>
          <w:rFonts w:hint="eastAsia" w:ascii="宋体" w:hAnsi="宋体" w:eastAsia="宋体" w:cs="宋体"/>
          <w:sz w:val="22"/>
          <w:szCs w:val="16"/>
          <w:highlight w:val="none"/>
        </w:rPr>
        <w:t>持处理医共体信息平台内与数据定位和管理相关的复杂任务，该服务包括相关的索引信息，这些索引链接不同存储服务所保存的数据到一个特定的个人、医疗卫生人员、医疗卫生机构或者可以实时获取这些数据的服务点。全程健康档案服务还负责分析来自外部资源的信息，并恰当地保存这些数据到存储库中，可以反向地响应外部医疗卫生服务点的检索、汇聚和返回数据。全程健康档案服务也知道其他信息平台可能在客户端保存的附加数据，也能够对那些医共体信息平台转发数据请求，并合并返回数据和本地信息。反过来，全程健康档案服务也能响应来自其他区域信息平台的信息请求。全程健康档案服务是平台系统架构的核心组件。该服务负责实现平台互联互通性规范，还可能使用由医共体信息平台内提供的组件和服务同其他区域平台互动来完成某一项事务。具体内容如下：</w:t>
      </w:r>
    </w:p>
    <w:p w14:paraId="198E5DD4">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健康档案管理：支持健康档案管理的业务操作，包括建档、归档、迁档、档案合并和拆分以及档案的终结，对于健康档案的管理由市、县两级专门机构负责。</w:t>
      </w:r>
    </w:p>
    <w:p w14:paraId="2B28E131">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健康档案整合服务：支持基于主索引的建立，将患者所产生的业务活动按照时间、地点、事件进行有序的整合，形成患者全生命周期的档案管理。</w:t>
      </w:r>
    </w:p>
    <w:p w14:paraId="6EB172B1">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健康档案存储服务：支持存储健康档案的信息。根据健康档案信息的分类，健康档案的存储服务应分为九个存储库：个人基本信息存储库、主要疾病和健康问题摘要存储库、儿童保健存储库、妇女保健存储库、疾病控制存储库、疾病管理存储库、医疗服务存储库以及计划生育存储库及其它存储库。</w:t>
      </w:r>
    </w:p>
    <w:p w14:paraId="524FA09C">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健康档案调阅服务：支持基于健康档案存储服务，提供卫生计生机构之间的信息共享服务和业务协同。根据健康档案信息的分类和服务需要，卫生计生信息共享和协同服务应分为三个一级类目：个人基本信息域、公共卫生域以及医疗服务域，公共卫生又可以进一步细分为儿童保健、妇女保健、疾病控制、疾病管理，医疗服务域细分为诊断信息域、药品处方域、临床检验域、医学影像域。健康档案的调阅服务应用于医共体信息平台内与数据定位和管理相关的复杂任务。该服务包括相关的组装服务、标准化服务以及数据访问服务。健康档案服务负责分析来自外部资源的请求，响应外部医疗服务点的检索、汇聚和返回数据，也可以反向的储存这些数据到存储库中。</w:t>
      </w:r>
    </w:p>
    <w:p w14:paraId="7E8652C8">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rPr>
        <w:t>健康档案组装服务：支持通过接口的方式将平台</w:t>
      </w:r>
      <w:r>
        <w:rPr>
          <w:rFonts w:hint="eastAsia" w:ascii="宋体" w:hAnsi="宋体" w:eastAsia="宋体" w:cs="宋体"/>
          <w:sz w:val="22"/>
          <w:szCs w:val="16"/>
          <w:highlight w:val="none"/>
          <w:lang w:val="en-GB"/>
        </w:rPr>
        <w:t>的健康档案数据提供给第三方系统，第三方系统可以自由组装获取到的数据。并且支持平台可以对对外提供的数据进行限制，比如只给第三方系统提供健康档案中的门诊数据。</w:t>
      </w:r>
    </w:p>
    <w:p w14:paraId="7666CD48">
      <w:pPr>
        <w:ind w:firstLine="420" w:firstLineChars="0"/>
        <w:jc w:val="both"/>
        <w:rPr>
          <w:rFonts w:hint="eastAsia" w:ascii="宋体" w:hAnsi="宋体" w:eastAsia="宋体" w:cs="宋体"/>
          <w:sz w:val="22"/>
          <w:szCs w:val="16"/>
          <w:highlight w:val="none"/>
          <w:lang w:val="en-GB"/>
        </w:rPr>
      </w:pPr>
      <w:r>
        <w:rPr>
          <w:rFonts w:hint="eastAsia" w:ascii="宋体" w:hAnsi="宋体" w:eastAsia="宋体" w:cs="宋体"/>
          <w:sz w:val="22"/>
          <w:szCs w:val="16"/>
          <w:highlight w:val="none"/>
          <w:lang w:val="en-GB"/>
        </w:rPr>
        <w:t>健康档案调阅提醒服务：支持平台自动通过医生站判断当前居民是否已经建立居民健康档案，如果未建，则提示医生要为该居民建立健康档案；如已建，则提示医生该居民有可以供调阅的健康档案。同时对病人的重点健康信息进行提醒。</w:t>
      </w:r>
    </w:p>
    <w:p w14:paraId="51D35D4E">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家庭医生签约服务组件</w:t>
      </w:r>
    </w:p>
    <w:p w14:paraId="33D27F00">
      <w:pPr>
        <w:rPr>
          <w:rFonts w:hint="eastAsia" w:ascii="宋体" w:hAnsi="宋体" w:eastAsia="宋体" w:cs="宋体"/>
          <w:sz w:val="22"/>
          <w:szCs w:val="16"/>
          <w:highlight w:val="none"/>
        </w:rPr>
      </w:pPr>
      <w:r>
        <w:rPr>
          <w:rFonts w:hint="eastAsia" w:ascii="宋体" w:hAnsi="宋体" w:eastAsia="宋体" w:cs="宋体"/>
          <w:sz w:val="22"/>
          <w:szCs w:val="16"/>
          <w:highlight w:val="none"/>
        </w:rPr>
        <w:t>满足家庭医生签约服务功能要求，医共体信息平台提供家庭医生签约服务组件。包括签约服务资源管理、家庭医生资源管理、签约服务标准协议管理、家庭医生签约协议管理、签约服务内容管理、签约居民服务管理、签约服务资源信息查询等</w:t>
      </w:r>
    </w:p>
    <w:p w14:paraId="4574F77A">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远程医疗服务组件</w:t>
      </w:r>
    </w:p>
    <w:p w14:paraId="3B436E95">
      <w:pPr>
        <w:rPr>
          <w:rFonts w:hint="eastAsia" w:ascii="宋体" w:hAnsi="宋体" w:eastAsia="宋体" w:cs="宋体"/>
          <w:sz w:val="22"/>
          <w:szCs w:val="16"/>
          <w:highlight w:val="none"/>
        </w:rPr>
      </w:pPr>
      <w:r>
        <w:rPr>
          <w:rFonts w:hint="eastAsia" w:ascii="宋体" w:hAnsi="宋体" w:eastAsia="宋体" w:cs="宋体"/>
          <w:sz w:val="22"/>
          <w:szCs w:val="16"/>
          <w:highlight w:val="none"/>
        </w:rPr>
        <w:t>满足远程医疗协助服务功能要求，医共体信息平台提供远程医疗服务组件。包括远程医疗机构设置、专家排班设置、音视频参数配置、远程会议安排、远程诊断报告配置等。</w:t>
      </w:r>
    </w:p>
    <w:p w14:paraId="5F2750EF">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便民服务组件</w:t>
      </w:r>
    </w:p>
    <w:p w14:paraId="0CCF17CC">
      <w:pPr>
        <w:rPr>
          <w:rFonts w:hint="eastAsia" w:ascii="宋体" w:hAnsi="宋体" w:eastAsia="宋体" w:cs="宋体"/>
          <w:sz w:val="22"/>
          <w:szCs w:val="16"/>
          <w:highlight w:val="none"/>
        </w:rPr>
      </w:pPr>
      <w:r>
        <w:rPr>
          <w:rFonts w:hint="eastAsia" w:ascii="宋体" w:hAnsi="宋体" w:eastAsia="宋体" w:cs="宋体"/>
          <w:sz w:val="22"/>
          <w:szCs w:val="16"/>
          <w:highlight w:val="none"/>
        </w:rPr>
        <w:t>满足便民惠民服务功能需要，医共体平台体提供便民服务组件。包括网上预约、智能导诊、健康档案、在线咨询、检验检查结果查阅、健康服务提醒、家医签约、健康宣教、家庭成员绑定、实名认证、医院介绍、就医体验。</w:t>
      </w:r>
    </w:p>
    <w:p w14:paraId="7271863E">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医保综合服务组件</w:t>
      </w:r>
    </w:p>
    <w:p w14:paraId="4B4F2FA1">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医保相关功能要求，实现与医保业务对接，医共体平台提供医保综合服务组件。包括门诊就诊信息上传、门诊费用信息上传、门诊预结算信息上传、门诊结算信息上传、住院信息上传、住院费用信息上传、住院预结算信息上传、住院结算信息上传等。</w:t>
      </w:r>
    </w:p>
    <w:p w14:paraId="46DA592D">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处方审核服务组件</w:t>
      </w:r>
    </w:p>
    <w:p w14:paraId="41DCE655">
      <w:pPr>
        <w:rPr>
          <w:rFonts w:hint="eastAsia" w:ascii="宋体" w:hAnsi="宋体" w:eastAsia="宋体" w:cs="宋体"/>
          <w:sz w:val="22"/>
          <w:szCs w:val="16"/>
          <w:highlight w:val="none"/>
        </w:rPr>
      </w:pPr>
      <w:r>
        <w:rPr>
          <w:rFonts w:hint="eastAsia" w:ascii="宋体" w:hAnsi="宋体" w:eastAsia="宋体" w:cs="宋体"/>
          <w:sz w:val="22"/>
          <w:szCs w:val="16"/>
          <w:highlight w:val="none"/>
        </w:rPr>
        <w:t>满足处方点评审核服务功能要求，医共体信息平台提供处方审核服务组件。包括门急诊处方点评、住院病人医嘱点评、住院病人抗菌药物医嘱点评、门急诊抗菌药物处方点评、门急诊基本药物专项点评、门急诊处方专项药品点评、门急诊中药饮片专项点评、围术期抗菌药物医嘱点评、门急诊抗肿瘤药物点评（按处方）、住院病人抗肿瘤药物点评（按病人）、住院病人药品专项点评、住院病人抗肿瘤药物点评（专项药品）、超说明书用药处方专项点评等各类点评内容。在上述点评类型模块基础上，可进一步完成质子泵抑制剂、重点监控药品、大容量注射剂、辅助用药等重点质控药品的点评，实现对基层医疗机构的处方点评。</w:t>
      </w:r>
    </w:p>
    <w:p w14:paraId="4C7F4804">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药品统一管理服务组件</w:t>
      </w:r>
    </w:p>
    <w:p w14:paraId="13DF5173">
      <w:pPr>
        <w:rPr>
          <w:rFonts w:hint="eastAsia" w:ascii="宋体" w:hAnsi="宋体" w:eastAsia="宋体" w:cs="宋体"/>
          <w:sz w:val="22"/>
          <w:szCs w:val="16"/>
          <w:highlight w:val="none"/>
        </w:rPr>
      </w:pPr>
      <w:r>
        <w:rPr>
          <w:rFonts w:hint="eastAsia" w:ascii="宋体" w:hAnsi="宋体" w:eastAsia="宋体" w:cs="宋体"/>
          <w:sz w:val="22"/>
          <w:szCs w:val="16"/>
          <w:highlight w:val="none"/>
        </w:rPr>
        <w:t>满足药品统一管理服务功能要求，医共体信息平台提供药品统一管理服务组件。包括与医院、基层医疗机构中HIS系统的药品管理对接。接口交互内容包括药品目录、采购管理、调拨管理、库存管理等，其中HIS系统的药品领用、使用等信息仅需要采集到医共体数据中心做综合管理查询。支持与药品采购平台和供应商平台，主要接口对接药品目录、计划订单和配送信息。</w:t>
      </w:r>
    </w:p>
    <w:p w14:paraId="4C0FD696">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业务协同应用服务组件</w:t>
      </w:r>
    </w:p>
    <w:p w14:paraId="08F8340E">
      <w:pPr>
        <w:rPr>
          <w:rFonts w:hint="eastAsia" w:ascii="宋体" w:hAnsi="宋体" w:eastAsia="宋体" w:cs="宋体"/>
          <w:sz w:val="22"/>
          <w:szCs w:val="16"/>
          <w:highlight w:val="none"/>
        </w:rPr>
      </w:pPr>
      <w:r>
        <w:rPr>
          <w:rFonts w:hint="eastAsia" w:ascii="宋体" w:hAnsi="宋体" w:eastAsia="宋体" w:cs="宋体"/>
          <w:sz w:val="22"/>
          <w:szCs w:val="16"/>
          <w:highlight w:val="none"/>
        </w:rPr>
        <w:t>满足各医疗机构间业务协同需要，医共体信息平台提供业务协同应用服务组件。包括影像协同资源配置、影像协同应用流程、影像协同项目配置、影像协同报告设置、心电协同资源配置、心电协同报告设置等。</w:t>
      </w:r>
    </w:p>
    <w:p w14:paraId="4FD7215D">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集中智能审方服务组件</w:t>
      </w:r>
    </w:p>
    <w:p w14:paraId="0748CD8C">
      <w:pPr>
        <w:rPr>
          <w:rFonts w:hint="eastAsia" w:ascii="宋体" w:hAnsi="宋体" w:eastAsia="宋体" w:cs="宋体"/>
          <w:sz w:val="22"/>
          <w:szCs w:val="16"/>
          <w:highlight w:val="none"/>
        </w:rPr>
      </w:pPr>
      <w:r>
        <w:rPr>
          <w:rFonts w:hint="eastAsia" w:ascii="宋体" w:hAnsi="宋体" w:eastAsia="宋体" w:cs="宋体"/>
          <w:sz w:val="22"/>
          <w:szCs w:val="16"/>
          <w:highlight w:val="none"/>
        </w:rPr>
        <w:t>满足区域集中审方功能要求，医共体信息平台提集中审方服务组件。包括医生用药理由配置、读秒设置、用药分级分流配置、审方开关配置、托管设置、任务定制、双签流程设置、超时设置、延时设置、问题模板设置、审查标准设置、审方情况统计。</w:t>
      </w:r>
    </w:p>
    <w:p w14:paraId="0BF22CBC">
      <w:pPr>
        <w:pStyle w:val="6"/>
        <w:jc w:val="both"/>
        <w:rPr>
          <w:rFonts w:hint="eastAsia" w:ascii="宋体" w:hAnsi="宋体" w:eastAsia="宋体" w:cs="宋体"/>
          <w:sz w:val="24"/>
          <w:szCs w:val="22"/>
          <w:highlight w:val="none"/>
        </w:rPr>
      </w:pPr>
      <w:bookmarkStart w:id="3" w:name="_Toc182836633"/>
      <w:r>
        <w:rPr>
          <w:rFonts w:hint="eastAsia" w:ascii="宋体" w:hAnsi="宋体" w:eastAsia="宋体" w:cs="宋体"/>
          <w:sz w:val="24"/>
          <w:szCs w:val="22"/>
          <w:highlight w:val="none"/>
        </w:rPr>
        <w:t>数字资源中心</w:t>
      </w:r>
      <w:bookmarkEnd w:id="3"/>
    </w:p>
    <w:p w14:paraId="27F63350">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基础信息数据库</w:t>
      </w:r>
    </w:p>
    <w:p w14:paraId="21D436DE">
      <w:pPr>
        <w:rPr>
          <w:rFonts w:hint="eastAsia" w:ascii="宋体" w:hAnsi="宋体" w:eastAsia="宋体" w:cs="宋体"/>
          <w:sz w:val="22"/>
          <w:szCs w:val="16"/>
          <w:highlight w:val="none"/>
        </w:rPr>
      </w:pPr>
      <w:r>
        <w:rPr>
          <w:rFonts w:hint="eastAsia" w:ascii="宋体" w:hAnsi="宋体" w:eastAsia="宋体" w:cs="宋体"/>
          <w:sz w:val="22"/>
          <w:szCs w:val="16"/>
          <w:highlight w:val="none"/>
        </w:rPr>
        <w:t>基础信息数据库作为汇聚了为医共体牵头医院和各成员单位提供基本信息服务的相关信息集合。基础信息数据库总体上应包括机构信息、科室信息、术语字典、医疗卫生服务人员信息等。通过对基础数据的统一管理，实现基础数据的唯一标识和一致性，满足医共体内各医疗卫生机构的互联互通要求。</w:t>
      </w:r>
    </w:p>
    <w:p w14:paraId="1315DE42">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健康档案数据库</w:t>
      </w:r>
    </w:p>
    <w:p w14:paraId="00E4A2A5">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健康档案的数据模型应是以人的健康为中心，以生命阶段、健康和疾病问题、卫生服务活动(或干预措施)作为三个维度构建的一个逻辑模型，用于全面、有效、多视角地描述健康档案的组成结构以及复杂信息间的内在联系。</w:t>
      </w:r>
    </w:p>
    <w:p w14:paraId="21ECF117">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并且通过一定的时序性、层次性和逻辑性，将人一生中面临的健康和疾病问题、针对性的卫生服务活动(或干预措施)以及所记录的相关信息有机地关联起来，并对所记录的海量信息进行科学分类和抽象描述，使之系统化、条理化和结构化。</w:t>
      </w:r>
    </w:p>
    <w:p w14:paraId="11757D2C">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实现通过健康档案信息库存放与健康档案相关的原始实体数据信息，主要是以健康档案未经过进一步加工的数据为主。实体的主要表现形式为文件存储。健康档案数据的存储模型以一次健康事件为基本单位，在存储上不对健康事件进行合并和加工。在存储时系统抽取健康事件的类型、健康事件存储时间，发生时间，事件唯一号，以及健康事件的版本信息作为基础索引。</w:t>
      </w:r>
    </w:p>
    <w:p w14:paraId="0DE9C4F6">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电子病历数据库</w:t>
      </w:r>
    </w:p>
    <w:p w14:paraId="25D9F106">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电子病历库实现对从各医院收集的医疗卫生数据进行统一标准的存储和管理，作为支撑电子病历信息共享和交换业务的数据库集合。信息库内部数据可以根据数据域和业务域来进行逻辑区分存储和管理，针对收集得到的电子病历数据，其数据的处理和存储管理都应遵循HL7临床文档结构(CDA)规范。电子病历库中存储的信息应包括：诊断、处方、检验结果、检查结果、影像图像以及住院病案、出院小结等内容。</w:t>
      </w:r>
    </w:p>
    <w:p w14:paraId="07774606">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医疗资源数据库</w:t>
      </w:r>
    </w:p>
    <w:p w14:paraId="7A8DDCBA">
      <w:pPr>
        <w:rPr>
          <w:rFonts w:hint="eastAsia" w:ascii="宋体" w:hAnsi="宋体" w:eastAsia="宋体" w:cs="宋体"/>
          <w:sz w:val="22"/>
          <w:szCs w:val="16"/>
          <w:highlight w:val="none"/>
        </w:rPr>
      </w:pPr>
      <w:r>
        <w:rPr>
          <w:rFonts w:hint="eastAsia" w:ascii="宋体" w:hAnsi="宋体" w:eastAsia="宋体" w:cs="宋体"/>
          <w:sz w:val="22"/>
          <w:szCs w:val="16"/>
          <w:highlight w:val="none"/>
        </w:rPr>
        <w:t>医疗资源库主要汇聚医共体内部所有提供医疗服务的生产要素信息，包括床位资源、检查资源、药品资源、检验资源、病理资源等各类医疗资源，以便医共体按照居民患者实际需求，合理分配、公平有效利用医疗资源，促进医疗服务共享，提高医疗资源利用效率。</w:t>
      </w:r>
    </w:p>
    <w:p w14:paraId="567080E3">
      <w:pPr>
        <w:rPr>
          <w:rFonts w:hint="eastAsia" w:ascii="宋体" w:hAnsi="宋体" w:eastAsia="宋体" w:cs="宋体"/>
          <w:sz w:val="22"/>
          <w:szCs w:val="16"/>
          <w:highlight w:val="none"/>
        </w:rPr>
      </w:pPr>
      <w:r>
        <w:rPr>
          <w:rFonts w:hint="eastAsia" w:ascii="宋体" w:hAnsi="宋体" w:eastAsia="宋体" w:cs="宋体"/>
          <w:sz w:val="22"/>
          <w:szCs w:val="16"/>
          <w:highlight w:val="none"/>
        </w:rPr>
        <w:t>（1）床位资源</w:t>
      </w:r>
    </w:p>
    <w:p w14:paraId="0E8CAA79">
      <w:pPr>
        <w:rPr>
          <w:rFonts w:hint="eastAsia" w:ascii="宋体" w:hAnsi="宋体" w:eastAsia="宋体" w:cs="宋体"/>
          <w:sz w:val="22"/>
          <w:szCs w:val="16"/>
          <w:highlight w:val="none"/>
        </w:rPr>
      </w:pPr>
      <w:r>
        <w:rPr>
          <w:rFonts w:hint="eastAsia" w:ascii="宋体" w:hAnsi="宋体" w:eastAsia="宋体" w:cs="宋体"/>
          <w:sz w:val="22"/>
          <w:szCs w:val="16"/>
          <w:highlight w:val="none"/>
        </w:rPr>
        <w:t>汇聚、整合医共体所有床位资源，主要包括来源医院、所属科室、病区分类、病床基础信息，运转情况，各类病床对应的医生团队、护理团体等信息，实现床位的信息展示、查询、预约等服务。</w:t>
      </w:r>
    </w:p>
    <w:p w14:paraId="5545D63D">
      <w:pPr>
        <w:rPr>
          <w:rFonts w:hint="eastAsia" w:ascii="宋体" w:hAnsi="宋体" w:eastAsia="宋体" w:cs="宋体"/>
          <w:sz w:val="22"/>
          <w:szCs w:val="16"/>
          <w:highlight w:val="none"/>
        </w:rPr>
      </w:pPr>
      <w:r>
        <w:rPr>
          <w:rFonts w:hint="eastAsia" w:ascii="宋体" w:hAnsi="宋体" w:eastAsia="宋体" w:cs="宋体"/>
          <w:sz w:val="22"/>
          <w:szCs w:val="16"/>
          <w:highlight w:val="none"/>
        </w:rPr>
        <w:t>（2）检查资源</w:t>
      </w:r>
    </w:p>
    <w:p w14:paraId="76721B9D">
      <w:pPr>
        <w:rPr>
          <w:rFonts w:hint="eastAsia" w:ascii="宋体" w:hAnsi="宋体" w:eastAsia="宋体" w:cs="宋体"/>
          <w:sz w:val="22"/>
          <w:szCs w:val="16"/>
          <w:highlight w:val="none"/>
        </w:rPr>
      </w:pPr>
      <w:r>
        <w:rPr>
          <w:rFonts w:hint="eastAsia" w:ascii="宋体" w:hAnsi="宋体" w:eastAsia="宋体" w:cs="宋体"/>
          <w:sz w:val="22"/>
          <w:szCs w:val="16"/>
          <w:highlight w:val="none"/>
        </w:rPr>
        <w:t>汇聚、整合医共体所有检查资源，主要包括来源医院、检查设备、检查项目、检查排班、检查价格、检查时长、注意事项、辅助检查等信息，实现检查资源的信息展示、查询、预约等服务。</w:t>
      </w:r>
    </w:p>
    <w:p w14:paraId="16CBDE3C">
      <w:pPr>
        <w:rPr>
          <w:rFonts w:hint="eastAsia" w:ascii="宋体" w:hAnsi="宋体" w:eastAsia="宋体" w:cs="宋体"/>
          <w:sz w:val="22"/>
          <w:szCs w:val="16"/>
          <w:highlight w:val="none"/>
        </w:rPr>
      </w:pPr>
      <w:r>
        <w:rPr>
          <w:rFonts w:hint="eastAsia" w:ascii="宋体" w:hAnsi="宋体" w:eastAsia="宋体" w:cs="宋体"/>
          <w:sz w:val="22"/>
          <w:szCs w:val="16"/>
          <w:highlight w:val="none"/>
        </w:rPr>
        <w:t>（3）药品资源</w:t>
      </w:r>
    </w:p>
    <w:p w14:paraId="44C73C52">
      <w:pPr>
        <w:rPr>
          <w:rFonts w:hint="eastAsia" w:ascii="宋体" w:hAnsi="宋体" w:eastAsia="宋体" w:cs="宋体"/>
          <w:sz w:val="22"/>
          <w:szCs w:val="16"/>
          <w:highlight w:val="none"/>
        </w:rPr>
      </w:pPr>
      <w:r>
        <w:rPr>
          <w:rFonts w:hint="eastAsia" w:ascii="宋体" w:hAnsi="宋体" w:eastAsia="宋体" w:cs="宋体"/>
          <w:sz w:val="22"/>
          <w:szCs w:val="16"/>
          <w:highlight w:val="none"/>
        </w:rPr>
        <w:t>通过医共体内各类药品统一编码，规范药品术语，完成智能配码，统一映射编码和医药信息互通。药品资源主要包括提供医疗机构、药品类型、药品名称、药品库存、药品生产批号、有效期等信息，支撑处方共享与药品配送服务。</w:t>
      </w:r>
    </w:p>
    <w:p w14:paraId="44BD811A">
      <w:pPr>
        <w:rPr>
          <w:rFonts w:hint="eastAsia" w:ascii="宋体" w:hAnsi="宋体" w:eastAsia="宋体" w:cs="宋体"/>
          <w:sz w:val="22"/>
          <w:szCs w:val="16"/>
          <w:highlight w:val="none"/>
        </w:rPr>
      </w:pPr>
      <w:r>
        <w:rPr>
          <w:rFonts w:hint="eastAsia" w:ascii="宋体" w:hAnsi="宋体" w:eastAsia="宋体" w:cs="宋体"/>
          <w:sz w:val="22"/>
          <w:szCs w:val="16"/>
          <w:highlight w:val="none"/>
        </w:rPr>
        <w:t>（4）检验资源</w:t>
      </w:r>
    </w:p>
    <w:p w14:paraId="4A5057CA">
      <w:pPr>
        <w:rPr>
          <w:rFonts w:hint="eastAsia" w:ascii="宋体" w:hAnsi="宋体" w:eastAsia="宋体" w:cs="宋体"/>
          <w:sz w:val="22"/>
          <w:szCs w:val="16"/>
          <w:highlight w:val="none"/>
        </w:rPr>
      </w:pPr>
      <w:r>
        <w:rPr>
          <w:rFonts w:hint="eastAsia" w:ascii="宋体" w:hAnsi="宋体" w:eastAsia="宋体" w:cs="宋体"/>
          <w:sz w:val="22"/>
          <w:szCs w:val="16"/>
          <w:highlight w:val="none"/>
        </w:rPr>
        <w:t>整合、规范医共体中的检验资源数据，统一分配与管理医疗机构临床检验代码等，支撑医共体内的检验中心的服务。检验资源主要包括检验的的项目，检验的申请情况，检验处理进度等信息，实现医共体中的共享医疗。</w:t>
      </w:r>
    </w:p>
    <w:p w14:paraId="64741874">
      <w:pPr>
        <w:rPr>
          <w:rFonts w:hint="eastAsia" w:ascii="宋体" w:hAnsi="宋体" w:eastAsia="宋体" w:cs="宋体"/>
          <w:sz w:val="22"/>
          <w:szCs w:val="16"/>
          <w:highlight w:val="none"/>
        </w:rPr>
      </w:pPr>
      <w:r>
        <w:rPr>
          <w:rFonts w:hint="eastAsia" w:ascii="宋体" w:hAnsi="宋体" w:eastAsia="宋体" w:cs="宋体"/>
          <w:sz w:val="22"/>
          <w:szCs w:val="16"/>
          <w:highlight w:val="none"/>
        </w:rPr>
        <w:t>（5）病理资源</w:t>
      </w:r>
    </w:p>
    <w:p w14:paraId="4C227A5B">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整合、规范医共体中的病理资源数据，统一分配与管理医疗机构临床病理代码等，支撑医共体内的病理中心的服务。病理资源主要包括病理的的项目，病理的申请情况，病理处理进度等信息，实现医共体中的共享医疗。</w:t>
      </w:r>
    </w:p>
    <w:p w14:paraId="31BE4EC0">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综合管理数据库</w:t>
      </w:r>
    </w:p>
    <w:p w14:paraId="525861A4">
      <w:pPr>
        <w:rPr>
          <w:rFonts w:hint="eastAsia" w:ascii="宋体" w:hAnsi="宋体" w:eastAsia="宋体" w:cs="宋体"/>
          <w:sz w:val="22"/>
          <w:szCs w:val="16"/>
          <w:highlight w:val="none"/>
        </w:rPr>
      </w:pPr>
      <w:r>
        <w:rPr>
          <w:rFonts w:hint="eastAsia" w:ascii="宋体" w:hAnsi="宋体" w:eastAsia="宋体" w:cs="宋体"/>
          <w:sz w:val="22"/>
          <w:szCs w:val="16"/>
          <w:highlight w:val="none"/>
        </w:rPr>
        <w:t>综合管理数据库应主要存储区域内卫生行政部门对卫生资源监管、公共卫生服务监管、医疗服务运营监管、药品监管、医改重点指标检测五个方面的监管信息数据，主要字段包括医疗卫生机构运行监管信息等。</w:t>
      </w:r>
    </w:p>
    <w:p w14:paraId="5BA8D870">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医生信息数据库</w:t>
      </w:r>
    </w:p>
    <w:p w14:paraId="66B03A59">
      <w:pPr>
        <w:rPr>
          <w:rFonts w:hint="eastAsia" w:ascii="宋体" w:hAnsi="宋体" w:eastAsia="宋体" w:cs="宋体"/>
          <w:sz w:val="22"/>
          <w:szCs w:val="16"/>
          <w:highlight w:val="none"/>
        </w:rPr>
      </w:pPr>
      <w:r>
        <w:rPr>
          <w:rFonts w:hint="eastAsia" w:ascii="宋体" w:hAnsi="宋体" w:eastAsia="宋体" w:cs="宋体"/>
          <w:sz w:val="22"/>
          <w:szCs w:val="16"/>
          <w:highlight w:val="none"/>
        </w:rPr>
        <w:t>医生信息数据库需要满足存储医共体内所有医疗卫生机构执业医师的相关信息，并支持平台值之间的医师数据共享、业务协同和个人档案定位。并提供数据源、地址等索引信息，支持医共体平台对下辖所有机构执业医师的统一注册、管理。提供基础数据支撑，用于多点执业、教学培训等应用探索。适用人员范围：全科医生、专科医生、实验室医师、医学影像从业人员、疾病预防控制专业人员、妇幼保健人员以及其他相关医疗卫生服务人员。</w:t>
      </w:r>
    </w:p>
    <w:p w14:paraId="0882D5F4">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运营信息数据库</w:t>
      </w:r>
    </w:p>
    <w:p w14:paraId="1F78C07D">
      <w:pPr>
        <w:rPr>
          <w:rFonts w:hint="eastAsia" w:ascii="宋体" w:hAnsi="宋体" w:eastAsia="宋体" w:cs="宋体"/>
          <w:sz w:val="22"/>
          <w:szCs w:val="16"/>
          <w:highlight w:val="none"/>
        </w:rPr>
      </w:pPr>
      <w:r>
        <w:rPr>
          <w:rFonts w:hint="eastAsia" w:ascii="宋体" w:hAnsi="宋体" w:eastAsia="宋体" w:cs="宋体"/>
          <w:sz w:val="22"/>
          <w:szCs w:val="16"/>
          <w:highlight w:val="none"/>
        </w:rPr>
        <w:t>构建运营信息数据库（主要包括：医疗质量信息、运行效率信息等）实现在临床数据、医院管理类数据以及财务类数据采集的基础上对各类数据进行归类整合，并加以数据挖掘分析利用。通过分析系统实现对管理、对业务提供数据服务与支持，方便其进行医疗服务运营分析、综合管理决策分析、医疗服务监管等运营管理。</w:t>
      </w:r>
    </w:p>
    <w:p w14:paraId="497B5164">
      <w:pPr>
        <w:pStyle w:val="6"/>
        <w:jc w:val="both"/>
        <w:rPr>
          <w:rFonts w:hint="eastAsia" w:ascii="宋体" w:hAnsi="宋体" w:eastAsia="宋体" w:cs="宋体"/>
          <w:sz w:val="24"/>
          <w:szCs w:val="22"/>
          <w:highlight w:val="none"/>
        </w:rPr>
      </w:pPr>
      <w:bookmarkStart w:id="4" w:name="_Toc182836634"/>
      <w:r>
        <w:rPr>
          <w:rFonts w:hint="eastAsia" w:ascii="宋体" w:hAnsi="宋体" w:eastAsia="宋体" w:cs="宋体"/>
          <w:sz w:val="24"/>
          <w:szCs w:val="22"/>
          <w:highlight w:val="none"/>
        </w:rPr>
        <w:t>数据采集整合</w:t>
      </w:r>
      <w:bookmarkEnd w:id="4"/>
    </w:p>
    <w:p w14:paraId="6807C754">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数据标准管理</w:t>
      </w:r>
    </w:p>
    <w:p w14:paraId="0D697273">
      <w:pPr>
        <w:rPr>
          <w:rFonts w:hint="eastAsia" w:ascii="宋体" w:hAnsi="宋体" w:eastAsia="宋体" w:cs="宋体"/>
          <w:sz w:val="22"/>
          <w:szCs w:val="16"/>
          <w:highlight w:val="none"/>
        </w:rPr>
      </w:pPr>
      <w:r>
        <w:rPr>
          <w:rFonts w:hint="eastAsia" w:ascii="宋体" w:hAnsi="宋体" w:eastAsia="宋体" w:cs="宋体"/>
          <w:sz w:val="22"/>
          <w:szCs w:val="16"/>
          <w:highlight w:val="none"/>
        </w:rPr>
        <w:t xml:space="preserve">数据标准管理是对医共体平台对卫生信息数据元目录、数据元值域、数据集、卫生统计指标、共享文档、计算模型等标准及元数据的管理，能自动产出信息标准系统报告并可进行后期管理。 </w:t>
      </w:r>
    </w:p>
    <w:p w14:paraId="4B9C340F">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接口文档管理</w:t>
      </w:r>
    </w:p>
    <w:p w14:paraId="33F738FA">
      <w:pPr>
        <w:ind w:firstLine="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医共体平台支持为异构系统提供标准接口文档，文档应支持按业务功能分类进行管理。满足文档的上传、发布、下载等功能。文档的变更、调整都需要进行相关审核、评估后统一发布。</w:t>
      </w:r>
    </w:p>
    <w:p w14:paraId="2BAAFF44">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数据采集</w:t>
      </w:r>
    </w:p>
    <w:p w14:paraId="7D37164F">
      <w:pPr>
        <w:rPr>
          <w:rFonts w:hint="eastAsia" w:ascii="宋体" w:hAnsi="宋体" w:eastAsia="宋体" w:cs="宋体"/>
          <w:sz w:val="22"/>
          <w:szCs w:val="16"/>
          <w:highlight w:val="none"/>
        </w:rPr>
      </w:pPr>
      <w:r>
        <w:rPr>
          <w:rFonts w:hint="eastAsia" w:ascii="宋体" w:hAnsi="宋体" w:eastAsia="宋体" w:cs="宋体"/>
          <w:sz w:val="22"/>
          <w:szCs w:val="16"/>
          <w:highlight w:val="none"/>
        </w:rPr>
        <w:t>需要同时支持非实时采集和实时采集。数据采集范围应包含：采集（但不限于）医疗业务数据，特别是《电子病历基本数据集》（WS 445.2-17 2014）要求的数据；公共卫生业务数据，其中包括基本公共卫生数据（《国家基本公共卫生服务规范（第三版）》要求的数据）和重大专项公共卫生数据（儿童保健、妇女保健、疾病控制等）。采集的数据必须符合国家和行业卫生信息标准。</w:t>
      </w:r>
    </w:p>
    <w:p w14:paraId="00696831">
      <w:pPr>
        <w:rPr>
          <w:rFonts w:hint="eastAsia" w:ascii="宋体" w:hAnsi="宋体" w:eastAsia="宋体" w:cs="宋体"/>
          <w:sz w:val="22"/>
          <w:szCs w:val="16"/>
          <w:highlight w:val="none"/>
        </w:rPr>
      </w:pPr>
      <w:r>
        <w:rPr>
          <w:rFonts w:hint="eastAsia" w:ascii="宋体" w:hAnsi="宋体" w:eastAsia="宋体" w:cs="宋体"/>
          <w:sz w:val="22"/>
          <w:szCs w:val="16"/>
          <w:highlight w:val="none"/>
        </w:rPr>
        <w:t xml:space="preserve">采集工具的应用：数据采集工具需使用成熟主流第三方数据采集工具，针对各种数据源（数据库）提供数据适配功能，支持推送和订阅双模式的数据分发，支持多目的的数据分发，支持重复数据删除，具备支撑异构应用系统的数据整合能力。 </w:t>
      </w:r>
    </w:p>
    <w:p w14:paraId="55F192E0">
      <w:pPr>
        <w:rPr>
          <w:rFonts w:hint="eastAsia" w:ascii="宋体" w:hAnsi="宋体" w:eastAsia="宋体" w:cs="宋体"/>
          <w:sz w:val="22"/>
          <w:szCs w:val="16"/>
          <w:highlight w:val="none"/>
        </w:rPr>
      </w:pPr>
      <w:r>
        <w:rPr>
          <w:rFonts w:hint="eastAsia" w:ascii="宋体" w:hAnsi="宋体" w:eastAsia="宋体" w:cs="宋体"/>
          <w:sz w:val="22"/>
          <w:szCs w:val="16"/>
          <w:highlight w:val="none"/>
        </w:rPr>
        <w:t>实现数据处理功能：不同数据源（数据库）的数据采集统一数据库和数据格式后，要对数据集、数据元和数据元值域及其元数据进行信息标准化处理，最终形成标准数据。数据经过标准化处理后，要根据统一的审计（校验）标准，对数据进行全面审计（校验），要求基础平台至少具有多重校验、双向校验、校正重传、校验标准维护等机制，提供完备的数据质量审计（校验）系统报告。 并对经过审计（校验）后的数据进行归档。</w:t>
      </w:r>
    </w:p>
    <w:p w14:paraId="2D6EF5D7">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数据转换</w:t>
      </w:r>
    </w:p>
    <w:p w14:paraId="6848CE31">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要求提供字段映射、数据过滤、数据清洗、数据替换、数据计算、数据验证、数据解密、数据合并、数据拆分、数据分发、数据删除等功能。这些功能支持任意组装，组装后通过医共体信息平台共享数据。</w:t>
      </w:r>
    </w:p>
    <w:p w14:paraId="2361AFF3">
      <w:pPr>
        <w:pStyle w:val="6"/>
        <w:jc w:val="both"/>
        <w:rPr>
          <w:rFonts w:hint="eastAsia" w:ascii="宋体" w:hAnsi="宋体" w:eastAsia="宋体" w:cs="宋体"/>
          <w:sz w:val="24"/>
          <w:szCs w:val="22"/>
          <w:highlight w:val="none"/>
        </w:rPr>
      </w:pPr>
      <w:bookmarkStart w:id="5" w:name="_Toc182836635"/>
      <w:r>
        <w:rPr>
          <w:rFonts w:hint="eastAsia" w:ascii="宋体" w:hAnsi="宋体" w:eastAsia="宋体" w:cs="宋体"/>
          <w:sz w:val="24"/>
          <w:szCs w:val="22"/>
          <w:highlight w:val="none"/>
        </w:rPr>
        <w:t>数据质量控制</w:t>
      </w:r>
      <w:bookmarkEnd w:id="5"/>
    </w:p>
    <w:p w14:paraId="112A6AD0">
      <w:pPr>
        <w:rPr>
          <w:rFonts w:hint="eastAsia" w:ascii="宋体" w:hAnsi="宋体" w:eastAsia="宋体" w:cs="宋体"/>
          <w:sz w:val="22"/>
          <w:szCs w:val="16"/>
          <w:highlight w:val="none"/>
        </w:rPr>
      </w:pPr>
      <w:r>
        <w:rPr>
          <w:rFonts w:hint="eastAsia" w:ascii="宋体" w:hAnsi="宋体" w:eastAsia="宋体" w:cs="宋体"/>
          <w:sz w:val="22"/>
          <w:szCs w:val="16"/>
          <w:highlight w:val="none"/>
          <w:lang w:eastAsia="zh-CN"/>
        </w:rPr>
        <w:t>（</w:t>
      </w:r>
      <w:r>
        <w:rPr>
          <w:rFonts w:hint="eastAsia" w:ascii="宋体" w:hAnsi="宋体" w:eastAsia="宋体" w:cs="宋体"/>
          <w:sz w:val="22"/>
          <w:szCs w:val="16"/>
          <w:highlight w:val="none"/>
          <w:lang w:val="en-US" w:eastAsia="zh-CN"/>
        </w:rPr>
        <w:t>1）</w:t>
      </w:r>
      <w:r>
        <w:rPr>
          <w:rFonts w:hint="eastAsia" w:ascii="宋体" w:hAnsi="宋体" w:eastAsia="宋体" w:cs="宋体"/>
          <w:sz w:val="22"/>
          <w:szCs w:val="16"/>
          <w:highlight w:val="none"/>
        </w:rPr>
        <w:t>支持通过对提交数据的关联性、准确性、完整性进行评价；对提交数据的稳定性、及时性进行评价；对数据涵盖的所有业务表的关联性、数据完整性以及部分字段的数据进行评价。</w:t>
      </w:r>
    </w:p>
    <w:p w14:paraId="1B7F2E33">
      <w:pPr>
        <w:rPr>
          <w:rFonts w:hint="eastAsia" w:ascii="宋体" w:hAnsi="宋体" w:eastAsia="宋体" w:cs="宋体"/>
          <w:sz w:val="22"/>
          <w:szCs w:val="16"/>
          <w:highlight w:val="none"/>
        </w:rPr>
      </w:pPr>
      <w:r>
        <w:rPr>
          <w:rFonts w:hint="eastAsia" w:ascii="宋体" w:hAnsi="宋体" w:eastAsia="宋体" w:cs="宋体"/>
          <w:sz w:val="22"/>
          <w:szCs w:val="16"/>
          <w:highlight w:val="none"/>
          <w:lang w:eastAsia="zh-CN"/>
        </w:rPr>
        <w:t>（</w:t>
      </w:r>
      <w:r>
        <w:rPr>
          <w:rFonts w:hint="eastAsia" w:ascii="宋体" w:hAnsi="宋体" w:eastAsia="宋体" w:cs="宋体"/>
          <w:sz w:val="22"/>
          <w:szCs w:val="16"/>
          <w:highlight w:val="none"/>
          <w:lang w:val="en-US" w:eastAsia="zh-CN"/>
        </w:rPr>
        <w:t>2）</w:t>
      </w:r>
      <w:r>
        <w:rPr>
          <w:rFonts w:hint="eastAsia" w:ascii="宋体" w:hAnsi="宋体" w:eastAsia="宋体" w:cs="宋体"/>
          <w:sz w:val="22"/>
          <w:szCs w:val="16"/>
          <w:highlight w:val="none"/>
        </w:rPr>
        <w:t>实现元数据管理，支持数据完整性规则的应用，确保平台数据的完整性和一致性。并实现数据的精准性智能匹配和合并。实现在利用和存贮数据的过程中对数据质量进行控制，包括使用质量、存贮质量和传输质量等。</w:t>
      </w:r>
    </w:p>
    <w:p w14:paraId="113BC132">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运行环境监管</w:t>
      </w:r>
    </w:p>
    <w:p w14:paraId="556FFCC8">
      <w:pPr>
        <w:rPr>
          <w:rFonts w:hint="eastAsia" w:ascii="宋体" w:hAnsi="宋体" w:eastAsia="宋体" w:cs="宋体"/>
          <w:sz w:val="22"/>
          <w:szCs w:val="16"/>
          <w:highlight w:val="none"/>
        </w:rPr>
      </w:pPr>
      <w:r>
        <w:rPr>
          <w:rFonts w:hint="eastAsia" w:ascii="宋体" w:hAnsi="宋体" w:eastAsia="宋体" w:cs="宋体"/>
          <w:sz w:val="22"/>
          <w:szCs w:val="16"/>
          <w:highlight w:val="none"/>
        </w:rPr>
        <w:t>集成网络监管系统的信息，具体的监管和展现由专门的监管系统完成，本功能要求提供一个统一的视图进行展现。</w:t>
      </w:r>
    </w:p>
    <w:p w14:paraId="3B6B5B35">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数据交换监管</w:t>
      </w:r>
    </w:p>
    <w:p w14:paraId="3EC19A4A">
      <w:pPr>
        <w:rPr>
          <w:rFonts w:hint="eastAsia" w:ascii="宋体" w:hAnsi="宋体" w:eastAsia="宋体" w:cs="宋体"/>
          <w:sz w:val="22"/>
          <w:szCs w:val="16"/>
          <w:highlight w:val="none"/>
        </w:rPr>
      </w:pPr>
      <w:r>
        <w:rPr>
          <w:rFonts w:hint="eastAsia" w:ascii="宋体" w:hAnsi="宋体" w:eastAsia="宋体" w:cs="宋体"/>
          <w:sz w:val="22"/>
          <w:szCs w:val="16"/>
          <w:highlight w:val="none"/>
        </w:rPr>
        <w:t>具备数据交换监管维护机制。</w:t>
      </w:r>
    </w:p>
    <w:p w14:paraId="1624B089">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数据质量监管</w:t>
      </w:r>
    </w:p>
    <w:p w14:paraId="024DB698">
      <w:pPr>
        <w:rPr>
          <w:rFonts w:hint="eastAsia" w:ascii="宋体" w:hAnsi="宋体" w:eastAsia="宋体" w:cs="宋体"/>
          <w:sz w:val="22"/>
          <w:szCs w:val="16"/>
          <w:highlight w:val="none"/>
        </w:rPr>
      </w:pPr>
      <w:r>
        <w:rPr>
          <w:rFonts w:hint="eastAsia" w:ascii="宋体" w:hAnsi="宋体" w:eastAsia="宋体" w:cs="宋体"/>
          <w:sz w:val="22"/>
          <w:szCs w:val="16"/>
          <w:highlight w:val="none"/>
        </w:rPr>
        <w:t>支持数据质量监管，需建立一整套完整的接口数据质量评估体系，同时建立完善的数据监控机制，对联网的医疗卫生机构数据上传的情况（按接口分类的上传数量、上传成功率、质量评估结果等）进行综合展示，以指导各联网医疗卫生机构应用系统的改造与接口开发。</w:t>
      </w:r>
    </w:p>
    <w:p w14:paraId="3E35B0D0">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数据应用组件</w:t>
      </w:r>
    </w:p>
    <w:p w14:paraId="63000748">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具备数据应用组件，包括规则管理、规则配置、任务管理、质量分析等。</w:t>
      </w:r>
    </w:p>
    <w:p w14:paraId="718632EE">
      <w:pPr>
        <w:pStyle w:val="5"/>
        <w:jc w:val="both"/>
        <w:rPr>
          <w:rFonts w:hint="eastAsia" w:ascii="宋体" w:hAnsi="宋体" w:eastAsia="宋体" w:cs="宋体"/>
          <w:sz w:val="24"/>
          <w:szCs w:val="22"/>
          <w:highlight w:val="none"/>
        </w:rPr>
      </w:pPr>
      <w:bookmarkStart w:id="6" w:name="_Toc182836636"/>
      <w:r>
        <w:rPr>
          <w:rFonts w:hint="eastAsia" w:ascii="宋体" w:hAnsi="宋体" w:eastAsia="宋体" w:cs="宋体"/>
          <w:sz w:val="24"/>
          <w:szCs w:val="22"/>
          <w:highlight w:val="none"/>
        </w:rPr>
        <w:t>平台基础管理服务</w:t>
      </w:r>
      <w:bookmarkEnd w:id="6"/>
    </w:p>
    <w:p w14:paraId="6A8C32A6">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提供可视化的平台运维配置和状态监管服务，实现对平台的性能优化。</w:t>
      </w:r>
    </w:p>
    <w:p w14:paraId="67763629">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权限管理</w:t>
      </w:r>
    </w:p>
    <w:p w14:paraId="14208C96">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菜单配置：平台模块、功能菜单已实现灵活可扩展，可根据业务需要对平台模块新增、修改、删除、停用、启用、刷新等，可根据业务需要对功能列表新增、修改、删除、批量同步、刷新等操作。</w:t>
      </w:r>
    </w:p>
    <w:p w14:paraId="14E9DB63">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角色管理：包括配置角色名称、分配角色操作权限、设置角色操作权限功能等。可根据需要新增、修改、删除、停用、启用、刷新、查看角色，分配操作权限、分配角色权限功能。</w:t>
      </w:r>
    </w:p>
    <w:p w14:paraId="46BA104C">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主题管理</w:t>
      </w:r>
    </w:p>
    <w:p w14:paraId="5E82FE3C">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在发布订阅模式中，各医疗卫生机构或业务科室可对数据中心中流转的相关业务信息进行订阅，对该部分内容进行主题式的管理，在数据中心将根据业务需要，设置树状分层的主题节点，通过交换平台，当相关机构产生主题消息后，信息自动向主题发布，则订阅该主题的机构或业务科室就可以收到该条消息，如卫生健康局关心甲类传染病信息，对该主题节点进行订阅，则将来发生任何甲类传染病报告事件，信息都会发布到卫生健康局应用节点。</w:t>
      </w:r>
    </w:p>
    <w:p w14:paraId="42B881F9">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节点管理</w:t>
      </w:r>
    </w:p>
    <w:p w14:paraId="2981C668">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由于数据交换平台是一个复杂的、分布式网络结构，单靠人工进行管理各个传输节点是很困难的一件事。当前的网络系统中都有哪些节点，它们运行状态如何，有哪些是新增加的节点，是否有非法节点加入，这些都是难以解决的问题。</w:t>
      </w:r>
    </w:p>
    <w:p w14:paraId="1AD292E3">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因此，系统必须引入节点管理功能。</w:t>
      </w:r>
    </w:p>
    <w:p w14:paraId="7257E4C9">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节点管理实现通过配置各个节点的参数和属性，构建整个数据交换环境。在监控端，以图形方式显示所有的网络段和节点并自动检测各个节点的状态。</w:t>
      </w:r>
    </w:p>
    <w:p w14:paraId="6F34D2DD">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对接入平台的各机构接入节点进行基本信息、配置参数、运行状态的监控。</w:t>
      </w:r>
    </w:p>
    <w:p w14:paraId="41472B59">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参数配置</w:t>
      </w:r>
    </w:p>
    <w:p w14:paraId="541B22D3">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支持参数体系管理，包括配置参数分类和参数列表等。</w:t>
      </w:r>
    </w:p>
    <w:p w14:paraId="13AF0CB1">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组织管理</w:t>
      </w:r>
    </w:p>
    <w:p w14:paraId="4037EF0B">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实现对机构、机构关系、部门、人员等的管理及业务数据对码。</w:t>
      </w:r>
    </w:p>
    <w:p w14:paraId="4661DC9C">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提供组织机构管理功能，对需要接入到平台组织机构进行注册管理，包括新增、修改、启用、停用、查看、搜索。</w:t>
      </w:r>
    </w:p>
    <w:p w14:paraId="61915058">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提供医护人员管理功能，包括根据业务需要对人员信息进行新增、修改、停用、启用、删除、打印工号等。并支持配置人员基本信息、其他信息（职工编号、性别、职称、职务、职级、民族、学历、性质、专家类型、医疗专长、简介等信息）、照片、个人签名、经历、科研成果等，支持对人员所属机构进行分配，分配角色等。</w:t>
      </w:r>
    </w:p>
    <w:p w14:paraId="3336645A">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配置管理</w:t>
      </w:r>
    </w:p>
    <w:p w14:paraId="5F99F721">
      <w:pPr>
        <w:autoSpaceDE w:val="0"/>
        <w:autoSpaceDN w:val="0"/>
        <w:adjustRightInd w:val="0"/>
        <w:snapToGrid w:val="0"/>
        <w:rPr>
          <w:rFonts w:hint="eastAsia" w:ascii="宋体" w:hAnsi="宋体" w:eastAsia="宋体" w:cs="宋体"/>
          <w:sz w:val="22"/>
          <w:szCs w:val="16"/>
          <w:highlight w:val="none"/>
        </w:rPr>
      </w:pPr>
      <w:r>
        <w:rPr>
          <w:rFonts w:hint="eastAsia" w:ascii="宋体" w:hAnsi="宋体" w:eastAsia="宋体" w:cs="宋体"/>
          <w:sz w:val="22"/>
          <w:szCs w:val="16"/>
          <w:highlight w:val="none"/>
        </w:rPr>
        <w:t>数据交换平台是一个复杂、庞大的系统。软件系统需要不断地维护和更新，如果每修改一次都需要到用户终端进行一次程序更新，系统的维护的工作量是无法想象的，为了解决这一矛盾，系统对各接口组件实行智能维护，提供功能服务组件版本自动更新功能、系统参数设置功能和提供个性化服务功能等。对于数据集和流程定义配置文件的更新，也应通过分发机制保证各节点的统一性。</w:t>
      </w:r>
    </w:p>
    <w:p w14:paraId="414B243A">
      <w:pPr>
        <w:autoSpaceDE w:val="0"/>
        <w:autoSpaceDN w:val="0"/>
        <w:adjustRightInd w:val="0"/>
        <w:snapToGrid w:val="0"/>
        <w:rPr>
          <w:rFonts w:hint="eastAsia" w:ascii="宋体" w:hAnsi="宋体" w:eastAsia="宋体" w:cs="宋体"/>
          <w:sz w:val="22"/>
          <w:szCs w:val="16"/>
          <w:highlight w:val="none"/>
        </w:rPr>
      </w:pPr>
      <w:r>
        <w:rPr>
          <w:rFonts w:hint="eastAsia" w:ascii="宋体" w:hAnsi="宋体" w:eastAsia="宋体" w:cs="宋体"/>
          <w:sz w:val="22"/>
          <w:szCs w:val="16"/>
          <w:highlight w:val="none"/>
        </w:rPr>
        <w:t>配置管理把平台各个独立部分行为参数的配置和管理统一集中起来，配置的信息包括平台各个组件的运行参数、各个组件间交换的参数以及除术语外业务系统中使用的字典数据的维护。字典数据管理维护的数据包括字典分类及字典项，支持版本控制及多级字典维护。</w:t>
      </w:r>
    </w:p>
    <w:p w14:paraId="17B45B7F">
      <w:pPr>
        <w:autoSpaceDE w:val="0"/>
        <w:autoSpaceDN w:val="0"/>
        <w:adjustRightInd w:val="0"/>
        <w:snapToGrid w:val="0"/>
        <w:rPr>
          <w:rFonts w:hint="eastAsia" w:ascii="宋体" w:hAnsi="宋体" w:eastAsia="宋体" w:cs="宋体"/>
          <w:sz w:val="22"/>
          <w:szCs w:val="16"/>
          <w:highlight w:val="none"/>
        </w:rPr>
      </w:pPr>
      <w:r>
        <w:rPr>
          <w:rFonts w:hint="eastAsia" w:ascii="宋体" w:hAnsi="宋体" w:eastAsia="宋体" w:cs="宋体"/>
          <w:sz w:val="22"/>
          <w:szCs w:val="16"/>
          <w:highlight w:val="none"/>
        </w:rPr>
        <w:t>支持通过配置对各接口及组件实行智能维护，提供功能服务组件版本自动更新功能、系统参数设置功能和提供个性化服务功能。</w:t>
      </w:r>
    </w:p>
    <w:p w14:paraId="435B5C54">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密钥管理</w:t>
      </w:r>
    </w:p>
    <w:p w14:paraId="2B7FCB5F">
      <w:pPr>
        <w:autoSpaceDE w:val="0"/>
        <w:autoSpaceDN w:val="0"/>
        <w:adjustRightInd w:val="0"/>
        <w:snapToGrid w:val="0"/>
        <w:rPr>
          <w:rFonts w:hint="eastAsia" w:ascii="宋体" w:hAnsi="宋体" w:eastAsia="宋体" w:cs="宋体"/>
          <w:sz w:val="22"/>
          <w:szCs w:val="16"/>
          <w:highlight w:val="none"/>
        </w:rPr>
      </w:pPr>
      <w:r>
        <w:rPr>
          <w:rFonts w:hint="eastAsia" w:ascii="宋体" w:hAnsi="宋体" w:eastAsia="宋体" w:cs="宋体"/>
          <w:sz w:val="22"/>
          <w:szCs w:val="16"/>
          <w:highlight w:val="none"/>
        </w:rPr>
        <w:t>在数据交换过程中，数据文件发送和接收双方都需要对对方的密钥进行认证，以保证数据的防抵赖、防否认和防篡改。安全、周密、有效的对密钥进行管理是数据交换安全设计的一个重要方面，通过对各种密钥进行管理，能够确保整个数据交换系统的安全。</w:t>
      </w:r>
    </w:p>
    <w:p w14:paraId="5B47D7AA">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基础管理</w:t>
      </w:r>
    </w:p>
    <w:p w14:paraId="5C0EFAD6">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基础管理需根据业务需要对行政区划管理、基础编码管理、疾病编码管理、药品编码管理、医疗设备管理等。</w:t>
      </w:r>
    </w:p>
    <w:p w14:paraId="70729D80">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日志管理</w:t>
      </w:r>
    </w:p>
    <w:p w14:paraId="644919CC">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提供系统日志查看功能，支持基于平台系统及应用的日志管理功能，对系统运行状况和性能、系统接入交换情况、用户使用操作、数据库访问操作等等进行跟踪记录，并支持异常告警提示和日志分类归档功能，方便对系统的调试维护和操作追查。</w:t>
      </w:r>
    </w:p>
    <w:p w14:paraId="7884603F">
      <w:pPr>
        <w:pStyle w:val="5"/>
        <w:jc w:val="both"/>
        <w:rPr>
          <w:rFonts w:hint="eastAsia" w:ascii="宋体" w:hAnsi="宋体" w:eastAsia="宋体" w:cs="宋体"/>
          <w:sz w:val="24"/>
          <w:szCs w:val="22"/>
          <w:highlight w:val="none"/>
        </w:rPr>
      </w:pPr>
      <w:bookmarkStart w:id="7" w:name="_Toc182836637"/>
      <w:r>
        <w:rPr>
          <w:rFonts w:hint="eastAsia" w:ascii="宋体" w:hAnsi="宋体" w:eastAsia="宋体" w:cs="宋体"/>
          <w:sz w:val="24"/>
          <w:szCs w:val="22"/>
          <w:highlight w:val="none"/>
        </w:rPr>
        <w:t>平台标准管理</w:t>
      </w:r>
      <w:bookmarkEnd w:id="7"/>
    </w:p>
    <w:p w14:paraId="4D1C1E83">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支持对平台的数据标准（发布、审核、查询）、数据元、数据元值域、数据集进行理，主要包括：数据元值域管理、数据元管理、数据标准发布、已审核标准、标准查询、数据集管理。具体内容如下：</w:t>
      </w:r>
    </w:p>
    <w:p w14:paraId="7FEC2F05">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数据元值域管理</w:t>
      </w:r>
    </w:p>
    <w:p w14:paraId="30764EFB">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对数据元值域分类、数据元值域、数据元值域值、数据元同义值进行管理，包括配置数据元值域编码、数据元值域名称、数据元值域值编码、数据元值域值名称、数据元同义值编码等信息。可根据业务需要新增、修改、删除、停用/启用、查询。</w:t>
      </w:r>
    </w:p>
    <w:p w14:paraId="4E499409">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数据元管理</w:t>
      </w:r>
    </w:p>
    <w:p w14:paraId="4BA87B35">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支持对数据元分类、数据元进行管理，包括配置数据元分类代码、数据元分类名称、数据元标识、数据元名称、数据类型、数据格式等信息。可根据业务需要新增、修改、删除、停用/启用、查询。</w:t>
      </w:r>
    </w:p>
    <w:p w14:paraId="29AB6E50">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数据标准发布</w:t>
      </w:r>
    </w:p>
    <w:p w14:paraId="5325F30F">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对数据标准进行管理，包括配置标准类型、标准代码、标准名称、OID、版本、发布日期等信息。可根据业务需要新增、修改、删除、查看、停用/启用、发布、通过审核、驳回审核等。点击页面左侧的数据标准类型，页面右侧展示所选数据标准类型下的所有数据标准。</w:t>
      </w:r>
    </w:p>
    <w:p w14:paraId="262D306C">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已审核标准：支持展示在数据标准发布中已审核（通过或驳回）的数据标准，包括查看标准详情。</w:t>
      </w:r>
    </w:p>
    <w:p w14:paraId="77ECB377">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标准查询：支持对已发布的数据标准进行查询，包括查看标准详情。</w:t>
      </w:r>
    </w:p>
    <w:p w14:paraId="26BD0E77">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数据集管理</w:t>
      </w:r>
    </w:p>
    <w:p w14:paraId="20BBA9B8">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支持对数据集分类、数据集进行管理，包括配置数据集分类代码、数据集分类名称、数据集标识、数据元标识符、数据字段等信息。可根据业务需要新增、修改、删除、停用/启用、查询等。</w:t>
      </w:r>
    </w:p>
    <w:p w14:paraId="1FBBB61F">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卫生统计指标管理</w:t>
      </w:r>
    </w:p>
    <w:p w14:paraId="50CFAEEF">
      <w:pPr>
        <w:ind w:firstLine="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依照国家卫生行业标准，对卫生统计指标进行分类管理，包括指标的标识符、中文名称、英文名称、计量单位、版本、注册机构、计算方法、指标说明、数据来源、发布频率等属性。</w:t>
      </w:r>
    </w:p>
    <w:p w14:paraId="13039048">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共享文档管理</w:t>
      </w:r>
    </w:p>
    <w:p w14:paraId="6137E32A">
      <w:pPr>
        <w:ind w:firstLine="42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支持配置医疗机构、平台相互共享患者医疗活动信息，通过管理文档，配置文档摸板，预览以及解析验证后方可共享数据，具体功能应包括文档组织配置、文档模板管理、共享文档预览、共享文档验证/解析等。</w:t>
      </w:r>
    </w:p>
    <w:p w14:paraId="4B921153">
      <w:pPr>
        <w:pStyle w:val="6"/>
        <w:jc w:val="both"/>
        <w:rPr>
          <w:rFonts w:hint="eastAsia" w:ascii="宋体" w:hAnsi="宋体" w:eastAsia="宋体" w:cs="宋体"/>
          <w:sz w:val="24"/>
          <w:szCs w:val="22"/>
          <w:highlight w:val="none"/>
        </w:rPr>
      </w:pPr>
      <w:bookmarkStart w:id="8" w:name="_Toc182836638"/>
      <w:r>
        <w:rPr>
          <w:rFonts w:hint="eastAsia" w:ascii="宋体" w:hAnsi="宋体" w:eastAsia="宋体" w:cs="宋体"/>
          <w:sz w:val="24"/>
          <w:szCs w:val="22"/>
          <w:highlight w:val="none"/>
        </w:rPr>
        <w:t>统一服务接口平台</w:t>
      </w:r>
      <w:bookmarkEnd w:id="8"/>
    </w:p>
    <w:p w14:paraId="33F70FF0">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满足支持上级平台数据传输接入接口</w:t>
      </w:r>
    </w:p>
    <w:p w14:paraId="4EE32C56">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满足支持医疗机构业务协作接口</w:t>
      </w:r>
    </w:p>
    <w:p w14:paraId="53E11569">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满足支持居民健康档案共享接口</w:t>
      </w:r>
    </w:p>
    <w:p w14:paraId="22105077">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满足支持医疗机构的电子病历接口</w:t>
      </w:r>
    </w:p>
    <w:p w14:paraId="2BD4EFD8">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满足支持医疗机构的检验数据共享接口</w:t>
      </w:r>
    </w:p>
    <w:p w14:paraId="7BDF609E">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满足支持医疗机构的检查数据共享接口</w:t>
      </w:r>
    </w:p>
    <w:p w14:paraId="264704D4">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满足医疗机构间双向转诊服务接口</w:t>
      </w:r>
    </w:p>
    <w:p w14:paraId="5E2173F7">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满足医疗保险电子凭证应用接口</w:t>
      </w:r>
    </w:p>
    <w:p w14:paraId="74022E74">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满足医疗机构移动支付接口</w:t>
      </w:r>
    </w:p>
    <w:p w14:paraId="7AA275AC">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满足医保信息服务接口</w:t>
      </w:r>
    </w:p>
    <w:p w14:paraId="58360E3E">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满足电子处方流转接口</w:t>
      </w:r>
    </w:p>
    <w:p w14:paraId="7FA2A487">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满足互联网便民、惠民服务接口</w:t>
      </w:r>
    </w:p>
    <w:p w14:paraId="514914CB">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满足远程会诊服务接口</w:t>
      </w:r>
    </w:p>
    <w:p w14:paraId="10B03033">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满足诊疗服务自助机服务查询接口</w:t>
      </w:r>
    </w:p>
    <w:p w14:paraId="53551200">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满足智能审方平台服务接口</w:t>
      </w:r>
    </w:p>
    <w:p w14:paraId="05DC3587">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满足远程超声诊断服务接口</w:t>
      </w:r>
    </w:p>
    <w:p w14:paraId="4D37541D">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满足医防融合服务接口</w:t>
      </w:r>
    </w:p>
    <w:p w14:paraId="645D0E89">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满足公共卫生监管服务接口</w:t>
      </w:r>
    </w:p>
    <w:p w14:paraId="07931AF1">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满足急诊急救平台服务接口</w:t>
      </w:r>
    </w:p>
    <w:p w14:paraId="1C4F37E4">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满足区域检验服务接口</w:t>
      </w:r>
    </w:p>
    <w:p w14:paraId="0F2D8130">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满足区域影像服务接口</w:t>
      </w:r>
    </w:p>
    <w:p w14:paraId="2AF3B112">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满足区域心电服务接口</w:t>
      </w:r>
    </w:p>
    <w:p w14:paraId="3F0F0682">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满足区域病理服务接口</w:t>
      </w:r>
    </w:p>
    <w:p w14:paraId="4F90F619">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满足区域消毒供应服务接口</w:t>
      </w:r>
    </w:p>
    <w:p w14:paraId="086AE435">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满足药品统一管理服务接口</w:t>
      </w:r>
    </w:p>
    <w:p w14:paraId="205D0BDA">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满足慢病管理中心服务接口</w:t>
      </w:r>
    </w:p>
    <w:p w14:paraId="79F9CE56">
      <w:pPr>
        <w:pStyle w:val="6"/>
        <w:jc w:val="both"/>
        <w:rPr>
          <w:rFonts w:hint="eastAsia" w:ascii="宋体" w:hAnsi="宋体" w:eastAsia="宋体" w:cs="宋体"/>
          <w:sz w:val="24"/>
          <w:szCs w:val="22"/>
          <w:highlight w:val="none"/>
        </w:rPr>
      </w:pPr>
      <w:bookmarkStart w:id="9" w:name="_Toc182836639"/>
      <w:r>
        <w:rPr>
          <w:rFonts w:hint="eastAsia" w:ascii="宋体" w:hAnsi="宋体" w:eastAsia="宋体" w:cs="宋体"/>
          <w:sz w:val="24"/>
          <w:szCs w:val="22"/>
          <w:highlight w:val="none"/>
        </w:rPr>
        <w:t>平台总线服务</w:t>
      </w:r>
      <w:bookmarkEnd w:id="9"/>
    </w:p>
    <w:p w14:paraId="3534CBF7">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首页</w:t>
      </w:r>
    </w:p>
    <w:p w14:paraId="4CA7B22C">
      <w:pPr>
        <w:ind w:firstLine="420" w:firstLineChars="0"/>
        <w:rPr>
          <w:rFonts w:hint="eastAsia" w:ascii="宋体" w:hAnsi="宋体" w:eastAsia="宋体" w:cs="宋体"/>
          <w:sz w:val="22"/>
          <w:szCs w:val="16"/>
          <w:highlight w:val="none"/>
        </w:rPr>
      </w:pPr>
      <w:r>
        <w:rPr>
          <w:rFonts w:hint="eastAsia" w:ascii="宋体" w:hAnsi="宋体" w:eastAsia="宋体" w:cs="宋体"/>
          <w:sz w:val="21"/>
          <w:szCs w:val="21"/>
          <w:highlight w:val="none"/>
        </w:rPr>
        <w:t>▲</w:t>
      </w:r>
      <w:r>
        <w:rPr>
          <w:rFonts w:hint="eastAsia" w:ascii="宋体" w:hAnsi="宋体" w:eastAsia="宋体" w:cs="宋体"/>
          <w:sz w:val="22"/>
          <w:szCs w:val="16"/>
          <w:highlight w:val="none"/>
        </w:rPr>
        <w:t>支持展示平台调用服务的情况，要求提供图例，图例内容包括：支持通过近一分钟、近一小时、今天、本周、本月或者自定义周期范围以及具体的业务系统等条件进行筛选查询，统计指标涵盖了服务数量、调用数量、调用异常数量、消息总数量、消息积压数量、网络中断次数、异常预警次数、耗时预警次数、拦截次数、熔断降级次数等指标，同时应包括服务被调用次数TOP10、服务调用耗时TOP10、当前消息队列积压TOP10、服务调用异常TOP10、近20日服务请求总量走势等统计图。</w:t>
      </w:r>
    </w:p>
    <w:p w14:paraId="5C935067">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服务监控</w:t>
      </w:r>
    </w:p>
    <w:p w14:paraId="65786669">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支持对服务调用情况进行统一的监控，包括服务状态监控、网络监控、拦截记录、预警配置。具体内容如下：</w:t>
      </w:r>
    </w:p>
    <w:p w14:paraId="1CC0258A">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服务状态：应提供状态查看及调用日志查看功能。包括支持查看所有服务的运行状态，支持通过选择业务系统、仅显示停止、服务类型、关键字等条件进行筛选查询，可根据业务进行启用/停用、调试、查看日志等操作；支持查看所有服务的调用日志，支持通过选择调用系统、仅显示失败、调用耗时高于（ms）日期范围等条件进行筛选查询。</w:t>
      </w:r>
    </w:p>
    <w:p w14:paraId="77A159B8">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网络监控：支持监控运行的各个实例，同时支持查看各实例的运行情况；</w:t>
      </w:r>
    </w:p>
    <w:p w14:paraId="2C1306BA">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拦截记录：支持记录拦截访问服务的请求IP地址和请求数据，应包括拦截记录的搜索与显示、查看拦截的详细信息。</w:t>
      </w:r>
    </w:p>
    <w:p w14:paraId="709E8387">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预警配置：支持配置相应的预警服务，应包括预警配置管理维护、预警配置应用、预警邮件配置。</w:t>
      </w:r>
    </w:p>
    <w:p w14:paraId="4C914DAF">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服务注册管理</w:t>
      </w:r>
    </w:p>
    <w:p w14:paraId="3959D80E">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支持服务一键注册，供授权的业务系统向总线发起注册功能，支持关键字查询、查看已注册服务的详细情况。</w:t>
      </w:r>
    </w:p>
    <w:p w14:paraId="07652CBC">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服务编排管理</w:t>
      </w:r>
    </w:p>
    <w:p w14:paraId="3B3FF59C">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支持将对外发布的服务进行一键编排，包括新创建一个业务流程、将当前选择的流程进行复制、流程的过滤及分类管理、查看当前流程被哪些服务所引用、选择服务导入到当前系统中、将流程批量导出到一个文件中、将选择的流程进行删除。</w:t>
      </w:r>
    </w:p>
    <w:p w14:paraId="0322A420">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sz w:val="21"/>
          <w:szCs w:val="24"/>
        </w:rPr>
        <w:t>★</w:t>
      </w:r>
      <w:r>
        <w:rPr>
          <w:rFonts w:hint="eastAsia" w:ascii="宋体" w:hAnsi="宋体" w:eastAsia="宋体" w:cs="宋体"/>
          <w:b/>
          <w:bCs/>
          <w:sz w:val="24"/>
          <w:szCs w:val="24"/>
          <w:highlight w:val="none"/>
        </w:rPr>
        <w:t>服务订阅管理</w:t>
      </w:r>
    </w:p>
    <w:p w14:paraId="0E27CB0C">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支持对指定的服务进行订阅，提供生产视图和订阅视图功能，在生产视图中给业务系统提供订阅对应的服务功能，支持新增消息、订阅消费、查看消息记录；在订阅视图中展示各个业务系统已订阅过的服务，支持取消订阅以及查看消息记录。</w:t>
      </w:r>
    </w:p>
    <w:p w14:paraId="7A2F9E4D">
      <w:pPr>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服务发布管理</w:t>
      </w:r>
    </w:p>
    <w:p w14:paraId="075D5EF5">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支持将已设计的流程按WebApi的方式发布到网关上，同时支持取消发布、启用/停用服务、授权系统、调试服务；还支持将已设计好的流程通过定时任务进行执行，支持新增定时任务、立即执行。</w:t>
      </w:r>
    </w:p>
    <w:p w14:paraId="122DB144">
      <w:pPr>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系统日志</w:t>
      </w:r>
    </w:p>
    <w:p w14:paraId="06DA4E36">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支持展示服务总线系统的相关日志，包括操作时间、操作人、执行动作等信息</w:t>
      </w:r>
      <w:bookmarkStart w:id="10" w:name="_Hlk102835609"/>
      <w:r>
        <w:rPr>
          <w:rFonts w:hint="eastAsia" w:ascii="宋体" w:hAnsi="宋体" w:eastAsia="宋体" w:cs="宋体"/>
          <w:sz w:val="22"/>
          <w:szCs w:val="16"/>
          <w:highlight w:val="none"/>
        </w:rPr>
        <w:t>，支持按照日志日期范围、操作人、操作IP、操作模块等条件进行搜索</w:t>
      </w:r>
      <w:bookmarkEnd w:id="10"/>
      <w:r>
        <w:rPr>
          <w:rFonts w:hint="eastAsia" w:ascii="宋体" w:hAnsi="宋体" w:eastAsia="宋体" w:cs="宋体"/>
          <w:sz w:val="22"/>
          <w:szCs w:val="16"/>
          <w:highlight w:val="none"/>
        </w:rPr>
        <w:t>。</w:t>
      </w:r>
    </w:p>
    <w:p w14:paraId="3CDEAD8D">
      <w:pPr>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基础配置</w:t>
      </w:r>
    </w:p>
    <w:p w14:paraId="40A8260C">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要求提供数据源配置、网关设置、授权管理、全局变量参数管理、系统管理、路由表配置、IP白名单维护等基础配置功能，具体内容如下：</w:t>
      </w:r>
    </w:p>
    <w:p w14:paraId="5B7AD008">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数据源配置：支持</w:t>
      </w:r>
      <w:bookmarkStart w:id="11" w:name="_Hlk103002484"/>
      <w:r>
        <w:rPr>
          <w:rFonts w:hint="eastAsia" w:ascii="宋体" w:hAnsi="宋体" w:eastAsia="宋体" w:cs="宋体"/>
          <w:sz w:val="22"/>
          <w:szCs w:val="16"/>
          <w:highlight w:val="none"/>
        </w:rPr>
        <w:t>配置与管理数据库源、Web服务源、队列服务器</w:t>
      </w:r>
      <w:bookmarkEnd w:id="11"/>
      <w:r>
        <w:rPr>
          <w:rFonts w:hint="eastAsia" w:ascii="宋体" w:hAnsi="宋体" w:eastAsia="宋体" w:cs="宋体"/>
          <w:sz w:val="22"/>
          <w:szCs w:val="16"/>
          <w:highlight w:val="none"/>
        </w:rPr>
        <w:t>。</w:t>
      </w:r>
    </w:p>
    <w:p w14:paraId="6331BCE1">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网关设置：支持配置网关的相关参数及保存配置，同时</w:t>
      </w:r>
      <w:bookmarkStart w:id="12" w:name="_Hlk103002709"/>
      <w:r>
        <w:rPr>
          <w:rFonts w:hint="eastAsia" w:ascii="宋体" w:hAnsi="宋体" w:eastAsia="宋体" w:cs="宋体"/>
          <w:sz w:val="22"/>
          <w:szCs w:val="16"/>
          <w:highlight w:val="none"/>
        </w:rPr>
        <w:t>包括配置站点参数及应用配置，实现对总线可以配置多个不同的实例部署在不同的服务器上实现分服务，分业务运行，既可以解决服务器压力，提高服务的专一性与一致性，同时根据业务可以进行修改站点、移除站点操作</w:t>
      </w:r>
      <w:bookmarkEnd w:id="12"/>
      <w:r>
        <w:rPr>
          <w:rFonts w:hint="eastAsia" w:ascii="宋体" w:hAnsi="宋体" w:eastAsia="宋体" w:cs="宋体"/>
          <w:sz w:val="22"/>
          <w:szCs w:val="16"/>
          <w:highlight w:val="none"/>
        </w:rPr>
        <w:t>。</w:t>
      </w:r>
    </w:p>
    <w:p w14:paraId="01AC4D4D">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授权管理：支持通过访问系统、服务类型、关键字等条件进行搜索、根据业务需求可以给系统授权服务。</w:t>
      </w:r>
    </w:p>
    <w:p w14:paraId="713A1BFB">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系统变量管理：提供对系统参数和全局参数的统一管理。</w:t>
      </w:r>
    </w:p>
    <w:p w14:paraId="0851C90A">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系统管理:支持对接入系统信息的统一维护与管理。</w:t>
      </w:r>
    </w:p>
    <w:p w14:paraId="1D73EF90">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IP白名单维护：支持维护白名单的信息以及将配置的白名单应用到网关中。</w:t>
      </w:r>
    </w:p>
    <w:p w14:paraId="01A01731">
      <w:pPr>
        <w:pStyle w:val="6"/>
        <w:jc w:val="both"/>
        <w:rPr>
          <w:rFonts w:hint="eastAsia" w:ascii="宋体" w:hAnsi="宋体" w:eastAsia="宋体" w:cs="宋体"/>
          <w:sz w:val="24"/>
          <w:szCs w:val="22"/>
          <w:highlight w:val="none"/>
        </w:rPr>
      </w:pPr>
      <w:bookmarkStart w:id="13" w:name="_Toc182836640"/>
      <w:r>
        <w:rPr>
          <w:rFonts w:hint="eastAsia" w:ascii="宋体" w:hAnsi="宋体" w:eastAsia="宋体" w:cs="宋体"/>
          <w:sz w:val="24"/>
          <w:szCs w:val="22"/>
          <w:highlight w:val="none"/>
        </w:rPr>
        <w:t>电子病历共享工程</w:t>
      </w:r>
      <w:bookmarkEnd w:id="13"/>
    </w:p>
    <w:p w14:paraId="2D2976E0">
      <w:pPr>
        <w:numPr>
          <w:ilvl w:val="4"/>
          <w:numId w:val="0"/>
        </w:numPr>
        <w:spacing w:before="120" w:after="120"/>
        <w:jc w:val="both"/>
        <w:rPr>
          <w:rFonts w:hint="eastAsia" w:ascii="宋体" w:hAnsi="宋体" w:eastAsia="宋体" w:cs="宋体"/>
          <w:b/>
          <w:bCs/>
          <w:sz w:val="24"/>
          <w:szCs w:val="24"/>
          <w:highlight w:val="none"/>
        </w:rPr>
      </w:pPr>
      <w:bookmarkStart w:id="14" w:name="_Toc23222"/>
      <w:r>
        <w:rPr>
          <w:rFonts w:hint="eastAsia" w:ascii="宋体" w:hAnsi="宋体" w:eastAsia="宋体" w:cs="宋体"/>
          <w:b/>
          <w:bCs/>
          <w:sz w:val="24"/>
          <w:szCs w:val="24"/>
          <w:highlight w:val="none"/>
        </w:rPr>
        <w:t>电子病历共享数据中心</w:t>
      </w:r>
      <w:bookmarkEnd w:id="14"/>
    </w:p>
    <w:p w14:paraId="0A7F3CC9">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提供电子病历共享数据中心，用于存放医共体的电子病历信息，以及用于支撑平台之间数据共享、业务协同和电子病历定位的数据源、地址等索引信息。</w:t>
      </w:r>
    </w:p>
    <w:p w14:paraId="7BAD2C8D">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电子病历共享数据中心实现对每一种业务数据包括数据表结构进行管理，便于调阅与共享。主要内容有：每一位居民至医院看病的记录。如：就诊记录、处方记录、入院记录、病程记录、出院记录、医嘱记录、检验报告、检查报告、输血记录、手术记录等。</w:t>
      </w:r>
    </w:p>
    <w:p w14:paraId="56DC305F">
      <w:pPr>
        <w:numPr>
          <w:ilvl w:val="4"/>
          <w:numId w:val="0"/>
        </w:numPr>
        <w:spacing w:before="120" w:after="120"/>
        <w:jc w:val="both"/>
        <w:rPr>
          <w:rFonts w:hint="eastAsia" w:ascii="宋体" w:hAnsi="宋体" w:eastAsia="宋体" w:cs="宋体"/>
          <w:sz w:val="24"/>
          <w:szCs w:val="24"/>
          <w:highlight w:val="none"/>
        </w:rPr>
      </w:pPr>
      <w:bookmarkStart w:id="15" w:name="_Toc13922"/>
      <w:r>
        <w:rPr>
          <w:rFonts w:hint="eastAsia" w:ascii="宋体" w:hAnsi="宋体" w:eastAsia="宋体" w:cs="宋体"/>
          <w:sz w:val="24"/>
          <w:szCs w:val="24"/>
          <w:highlight w:val="none"/>
        </w:rPr>
        <w:t>电子病历共享实时交互服务总线</w:t>
      </w:r>
      <w:bookmarkEnd w:id="15"/>
    </w:p>
    <w:p w14:paraId="23741C91">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支持电子病历共享实时交互服务总线服务，主要实现医共体各医疗机构电子病历，包含门诊和住院电子病历的批量采集和实时采集。</w:t>
      </w:r>
    </w:p>
    <w:p w14:paraId="3701A2A3">
      <w:pPr>
        <w:numPr>
          <w:ilvl w:val="4"/>
          <w:numId w:val="0"/>
        </w:numPr>
        <w:spacing w:before="120" w:after="120"/>
        <w:jc w:val="both"/>
        <w:rPr>
          <w:rFonts w:hint="eastAsia" w:ascii="宋体" w:hAnsi="宋体" w:eastAsia="宋体" w:cs="宋体"/>
          <w:b/>
          <w:bCs/>
          <w:sz w:val="24"/>
          <w:szCs w:val="24"/>
          <w:highlight w:val="none"/>
        </w:rPr>
      </w:pPr>
      <w:bookmarkStart w:id="16" w:name="_Toc23687"/>
      <w:r>
        <w:rPr>
          <w:rFonts w:hint="eastAsia" w:ascii="宋体" w:hAnsi="宋体" w:eastAsia="宋体" w:cs="宋体"/>
          <w:b/>
          <w:bCs/>
          <w:sz w:val="24"/>
          <w:szCs w:val="24"/>
          <w:highlight w:val="none"/>
        </w:rPr>
        <w:t>电子病历专用浏览器</w:t>
      </w:r>
      <w:bookmarkEnd w:id="16"/>
    </w:p>
    <w:p w14:paraId="40333DEC">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提供电子病历专用浏览器，为所有业务系统提供一个可以直接使用的电子病历浏览工具，包括电子病历索引服务、电子病历检索服务、电子病历格式标准定义、电子病历显示规范，可以直接在Web浏览器中查看电子病历。</w:t>
      </w:r>
    </w:p>
    <w:p w14:paraId="0F1BB8C5">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授权的医护专业人员或患者可以方便的访问电子病历中保存的相关数据。并根据使用者的特定需求提供不同医疗卫生领域的调阅展示服务。实现在权限管理下快速调阅医联体内病人的电子病历信息，提供电子病历聚合，电子病历数据展示，按照文件类型，按照时间与事件、指标等展示。</w:t>
      </w:r>
    </w:p>
    <w:p w14:paraId="184FB19E">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支持各业务系统通过“服务”的方式调用平台电子病历共享功能，可以内嵌到各业务系统的程序中使用，为其他软件供应商接入平台二次开发提供技术咨询服务。</w:t>
      </w:r>
    </w:p>
    <w:p w14:paraId="2CDCD1F1">
      <w:pPr>
        <w:pStyle w:val="14"/>
        <w:numPr>
          <w:ilvl w:val="0"/>
          <w:numId w:val="5"/>
        </w:numPr>
        <w:spacing w:after="0"/>
        <w:ind w:left="0" w:leftChars="0" w:firstLine="560"/>
        <w:rPr>
          <w:rFonts w:hint="eastAsia" w:ascii="宋体" w:hAnsi="宋体" w:eastAsia="宋体" w:cs="宋体"/>
          <w:sz w:val="22"/>
          <w:szCs w:val="16"/>
          <w:highlight w:val="none"/>
        </w:rPr>
      </w:pPr>
      <w:r>
        <w:rPr>
          <w:rFonts w:hint="eastAsia" w:ascii="宋体" w:hAnsi="宋体" w:eastAsia="宋体" w:cs="宋体"/>
          <w:sz w:val="22"/>
          <w:szCs w:val="16"/>
          <w:highlight w:val="none"/>
        </w:rPr>
        <w:t>门诊视图</w:t>
      </w:r>
    </w:p>
    <w:p w14:paraId="7170A198">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电子病历浏览器提供门诊视图模式，可按就诊时间、医院查询病人的病历、处方、检验检查报告等信息。</w:t>
      </w:r>
    </w:p>
    <w:p w14:paraId="28CC586A">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可以在一个界面查看门诊病人的基本信息、诊断信息、病历列表、处方信息、检查单及异常结果、检验单及异常结果。</w:t>
      </w:r>
    </w:p>
    <w:p w14:paraId="70CB9364">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支持一个界面展示历次门诊/住院就诊记录，当前选择就诊记录的诊断、病历列表及病历内容。</w:t>
      </w:r>
    </w:p>
    <w:p w14:paraId="2D83BE42">
      <w:pPr>
        <w:pStyle w:val="14"/>
        <w:numPr>
          <w:ilvl w:val="0"/>
          <w:numId w:val="5"/>
        </w:numPr>
        <w:spacing w:after="0"/>
        <w:ind w:left="0" w:leftChars="0" w:firstLine="560"/>
        <w:rPr>
          <w:rFonts w:hint="eastAsia" w:ascii="宋体" w:hAnsi="宋体" w:eastAsia="宋体" w:cs="宋体"/>
          <w:sz w:val="22"/>
          <w:szCs w:val="16"/>
          <w:highlight w:val="none"/>
        </w:rPr>
      </w:pPr>
      <w:r>
        <w:rPr>
          <w:rFonts w:hint="eastAsia" w:ascii="宋体" w:hAnsi="宋体" w:eastAsia="宋体" w:cs="宋体"/>
          <w:sz w:val="22"/>
          <w:szCs w:val="16"/>
          <w:highlight w:val="none"/>
        </w:rPr>
        <w:t>住院视图</w:t>
      </w:r>
    </w:p>
    <w:p w14:paraId="7D5B9B96">
      <w:pPr>
        <w:spacing w:before="36" w:after="36"/>
        <w:rPr>
          <w:rFonts w:hint="eastAsia" w:ascii="宋体" w:hAnsi="宋体" w:eastAsia="宋体" w:cs="宋体"/>
          <w:sz w:val="22"/>
          <w:szCs w:val="16"/>
          <w:highlight w:val="none"/>
        </w:rPr>
      </w:pPr>
      <w:r>
        <w:rPr>
          <w:rFonts w:hint="eastAsia" w:ascii="宋体" w:hAnsi="宋体" w:eastAsia="宋体" w:cs="宋体"/>
          <w:sz w:val="21"/>
          <w:szCs w:val="21"/>
          <w:highlight w:val="none"/>
        </w:rPr>
        <w:t>▲</w:t>
      </w:r>
      <w:r>
        <w:rPr>
          <w:rFonts w:hint="eastAsia" w:ascii="宋体" w:hAnsi="宋体" w:eastAsia="宋体" w:cs="宋体"/>
          <w:sz w:val="22"/>
          <w:szCs w:val="16"/>
          <w:highlight w:val="none"/>
        </w:rPr>
        <w:t>电子病历浏览器提供住院视图模式，可按就诊时间、医院查询病人包括住院费用、检验检查记录、病程记录、体温单、住院医嘱等信息。支持在院病人体温单、电子病历、长期医嘱、临时医嘱、检查、检验等相关信息在一个页面上展示，体温单应当以图形化展示，点击链接可以打开医嘱单、病历等内容，并支持按类别打开或关闭以查看重点内容。</w:t>
      </w:r>
    </w:p>
    <w:p w14:paraId="1357799F">
      <w:pPr>
        <w:numPr>
          <w:ilvl w:val="4"/>
          <w:numId w:val="0"/>
        </w:numPr>
        <w:spacing w:before="120" w:after="120"/>
        <w:jc w:val="both"/>
        <w:rPr>
          <w:rFonts w:hint="eastAsia" w:ascii="宋体" w:hAnsi="宋体" w:eastAsia="宋体" w:cs="宋体"/>
          <w:b/>
          <w:bCs/>
          <w:sz w:val="24"/>
          <w:szCs w:val="24"/>
          <w:highlight w:val="none"/>
        </w:rPr>
      </w:pPr>
      <w:bookmarkStart w:id="17" w:name="_Toc6161"/>
      <w:r>
        <w:rPr>
          <w:rFonts w:hint="eastAsia" w:ascii="宋体" w:hAnsi="宋体" w:eastAsia="宋体" w:cs="宋体"/>
          <w:b/>
          <w:bCs/>
          <w:sz w:val="24"/>
          <w:szCs w:val="24"/>
          <w:highlight w:val="none"/>
        </w:rPr>
        <w:t>电子病历共享接口服务</w:t>
      </w:r>
      <w:bookmarkEnd w:id="17"/>
    </w:p>
    <w:p w14:paraId="2622FD1C">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提供医共体电子病历共享接口服务，医共体成员机构内部系统，第三方协同系统如远程会诊、区域影像、区域检验系统，面向公众的居民健康服务门户或健康服务APP，微信公众号等均可通过该共享接口服务在保证安全和隐私的情况下提供电子病历共享接口服务。</w:t>
      </w:r>
    </w:p>
    <w:p w14:paraId="1F3C47D2">
      <w:pPr>
        <w:numPr>
          <w:ilvl w:val="4"/>
          <w:numId w:val="0"/>
        </w:numPr>
        <w:spacing w:before="120" w:after="120"/>
        <w:jc w:val="both"/>
        <w:rPr>
          <w:rFonts w:hint="eastAsia" w:ascii="宋体" w:hAnsi="宋体" w:eastAsia="宋体" w:cs="宋体"/>
          <w:b/>
          <w:bCs/>
          <w:sz w:val="24"/>
          <w:szCs w:val="24"/>
          <w:highlight w:val="none"/>
        </w:rPr>
      </w:pPr>
      <w:bookmarkStart w:id="18" w:name="_Toc3894"/>
      <w:r>
        <w:rPr>
          <w:rFonts w:hint="eastAsia" w:ascii="宋体" w:hAnsi="宋体" w:eastAsia="宋体" w:cs="宋体"/>
          <w:b/>
          <w:bCs/>
          <w:sz w:val="24"/>
          <w:szCs w:val="24"/>
          <w:highlight w:val="none"/>
        </w:rPr>
        <w:t>电子共享安全与隐私保护</w:t>
      </w:r>
      <w:bookmarkEnd w:id="18"/>
    </w:p>
    <w:p w14:paraId="6AF8803A">
      <w:pPr>
        <w:pStyle w:val="14"/>
        <w:numPr>
          <w:ilvl w:val="0"/>
          <w:numId w:val="6"/>
        </w:numPr>
        <w:spacing w:after="0"/>
        <w:ind w:left="720" w:leftChars="0" w:hanging="7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病人隐私保护</w:t>
      </w:r>
    </w:p>
    <w:p w14:paraId="06E538AE">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支持病人隐私保护，对关键诊断支持脱敏处理。</w:t>
      </w:r>
    </w:p>
    <w:p w14:paraId="325B04D4">
      <w:pPr>
        <w:pStyle w:val="14"/>
        <w:numPr>
          <w:ilvl w:val="0"/>
          <w:numId w:val="6"/>
        </w:numPr>
        <w:spacing w:after="0"/>
        <w:ind w:left="720" w:leftChars="0" w:hanging="7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授权管理</w:t>
      </w:r>
    </w:p>
    <w:p w14:paraId="1CD87331">
      <w:pPr>
        <w:spacing w:before="36" w:after="36"/>
        <w:rPr>
          <w:rFonts w:hint="eastAsia" w:ascii="宋体" w:hAnsi="宋体" w:eastAsia="宋体" w:cs="宋体"/>
          <w:sz w:val="22"/>
          <w:szCs w:val="16"/>
          <w:highlight w:val="none"/>
        </w:rPr>
      </w:pPr>
      <w:r>
        <w:rPr>
          <w:rFonts w:hint="eastAsia" w:ascii="宋体" w:hAnsi="宋体" w:eastAsia="宋体" w:cs="宋体"/>
          <w:sz w:val="21"/>
          <w:szCs w:val="21"/>
          <w:highlight w:val="none"/>
        </w:rPr>
        <w:t>▲</w:t>
      </w:r>
      <w:r>
        <w:rPr>
          <w:rFonts w:hint="eastAsia" w:ascii="宋体" w:hAnsi="宋体" w:eastAsia="宋体" w:cs="宋体"/>
          <w:sz w:val="22"/>
          <w:szCs w:val="16"/>
          <w:highlight w:val="none"/>
        </w:rPr>
        <w:t>支持在电子病历访问过程中，对隐私保护内容进行隐私保护申明，申请访问时，需要对安全隐私保护提示进行阅读与同意勾选方可进行访问。对于非在院患者的病历，浏览时需要患者短信授权才能进行访问。</w:t>
      </w:r>
    </w:p>
    <w:p w14:paraId="5837B0C0">
      <w:pPr>
        <w:pStyle w:val="14"/>
        <w:numPr>
          <w:ilvl w:val="0"/>
          <w:numId w:val="6"/>
        </w:numPr>
        <w:spacing w:after="0"/>
        <w:ind w:left="720" w:leftChars="0" w:hanging="7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信息安全管理</w:t>
      </w:r>
    </w:p>
    <w:p w14:paraId="7D6E2DAF">
      <w:pPr>
        <w:spacing w:before="36" w:after="36"/>
        <w:rPr>
          <w:rFonts w:hint="eastAsia" w:ascii="宋体" w:hAnsi="宋体" w:eastAsia="宋体" w:cs="宋体"/>
          <w:sz w:val="22"/>
          <w:szCs w:val="16"/>
          <w:highlight w:val="none"/>
        </w:rPr>
      </w:pPr>
      <w:r>
        <w:rPr>
          <w:rFonts w:hint="eastAsia" w:ascii="宋体" w:hAnsi="宋体" w:eastAsia="宋体" w:cs="宋体"/>
          <w:sz w:val="21"/>
          <w:szCs w:val="21"/>
          <w:highlight w:val="none"/>
        </w:rPr>
        <w:t>▲</w:t>
      </w:r>
      <w:r>
        <w:rPr>
          <w:rFonts w:hint="eastAsia" w:ascii="宋体" w:hAnsi="宋体" w:eastAsia="宋体" w:cs="宋体"/>
          <w:sz w:val="22"/>
          <w:szCs w:val="16"/>
          <w:highlight w:val="none"/>
        </w:rPr>
        <w:t>支持水印，水印显示当前浏览者及浏览时间，避免信息泄露。查看留痕，支持查看访问者所在机构、访问者、访问时间。</w:t>
      </w:r>
    </w:p>
    <w:p w14:paraId="7EFBC83C">
      <w:pPr>
        <w:pStyle w:val="6"/>
        <w:jc w:val="both"/>
        <w:rPr>
          <w:rFonts w:hint="eastAsia" w:ascii="宋体" w:hAnsi="宋体" w:eastAsia="宋体" w:cs="宋体"/>
          <w:sz w:val="24"/>
          <w:szCs w:val="22"/>
          <w:highlight w:val="none"/>
        </w:rPr>
      </w:pPr>
      <w:bookmarkStart w:id="19" w:name="_Toc182836641"/>
      <w:bookmarkStart w:id="20" w:name="_Toc2893"/>
      <w:r>
        <w:rPr>
          <w:rFonts w:hint="eastAsia" w:ascii="宋体" w:hAnsi="宋体" w:eastAsia="宋体" w:cs="宋体"/>
          <w:sz w:val="24"/>
          <w:szCs w:val="22"/>
          <w:highlight w:val="none"/>
        </w:rPr>
        <w:t>双向转诊</w:t>
      </w:r>
      <w:bookmarkEnd w:id="19"/>
      <w:bookmarkEnd w:id="20"/>
    </w:p>
    <w:p w14:paraId="3CF2457A">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转诊配置管理</w:t>
      </w:r>
    </w:p>
    <w:p w14:paraId="25785D25">
      <w:pPr>
        <w:spacing w:before="36" w:after="36"/>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支持对转诊机构的转诊科室、基础配置、门诊医生、入院病区、入院科室、病区科室、挂号安排等的管理。</w:t>
      </w:r>
    </w:p>
    <w:p w14:paraId="320C33D3">
      <w:pPr>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转诊申请</w:t>
      </w:r>
    </w:p>
    <w:p w14:paraId="082A1BE2">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转诊申请：提供转诊申请功能，基层医疗机构可以向中心医院发送转诊申请同时中心医院也可向基层医疗机构发送转回申请。对于符合转诊标准的门急诊患者，可由全科医生或者家庭医生进行转诊申请，转诊申请有两种方式，一种是在社区卫生服务中心的HIS系统中填写转诊申请单，提交后相关记录会显示在转诊记录模块列表中；另一种是直接在转诊系统中填写转诊申请单并提交实现转诊申请。</w:t>
      </w:r>
    </w:p>
    <w:p w14:paraId="44D782BA">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转诊审核：提供对转诊申请的审批功能。各级医疗机构可以对本院的转院申请进行审批，提供审批权限管理功能。</w:t>
      </w:r>
    </w:p>
    <w:p w14:paraId="20822897">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转诊接收</w:t>
      </w:r>
    </w:p>
    <w:p w14:paraId="0A2168A0">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提供转诊接收功能，可以对其他医疗机构的转院患者进行安排，安排到具体的科室病房等。支持医生查询转诊患者在转出医院的就诊的最新上传的电子病历信息。</w:t>
      </w:r>
    </w:p>
    <w:p w14:paraId="1A5B926C">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查询统计</w:t>
      </w:r>
    </w:p>
    <w:p w14:paraId="05BAF07C">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支持转诊工作量统计，通过统计查询可以了解当前机构与转诊机构的双向转诊中转出、转入的数量。</w:t>
      </w:r>
    </w:p>
    <w:p w14:paraId="7140E521">
      <w:pPr>
        <w:pStyle w:val="6"/>
        <w:jc w:val="both"/>
        <w:rPr>
          <w:rFonts w:hint="eastAsia" w:ascii="宋体" w:hAnsi="宋体" w:eastAsia="宋体" w:cs="宋体"/>
          <w:sz w:val="24"/>
          <w:szCs w:val="22"/>
          <w:highlight w:val="none"/>
        </w:rPr>
      </w:pPr>
      <w:bookmarkStart w:id="21" w:name="_Toc182836642"/>
      <w:bookmarkStart w:id="22" w:name="_Toc521"/>
      <w:r>
        <w:rPr>
          <w:rFonts w:hint="eastAsia" w:ascii="宋体" w:hAnsi="宋体" w:eastAsia="宋体" w:cs="宋体"/>
          <w:sz w:val="24"/>
          <w:szCs w:val="22"/>
          <w:highlight w:val="none"/>
        </w:rPr>
        <w:t>区域心电中心</w:t>
      </w:r>
      <w:bookmarkEnd w:id="21"/>
      <w:bookmarkEnd w:id="22"/>
    </w:p>
    <w:p w14:paraId="3DD43AA6">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区域心电协同中心系统是把区域内各医疗机构的心电数据进行共享，保障基层医院与中心医院之间的远程心电诊断的顺利进行，确保心电图检查的数字化采集、记录通过区域医共体服务信息平台实时共享。</w:t>
      </w:r>
    </w:p>
    <w:p w14:paraId="6E6C509E">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远程诊断模式</w:t>
      </w:r>
    </w:p>
    <w:p w14:paraId="363678D8">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区域心电中心需要支持远程诊断模式的应用，远程诊断模式是指基层医疗机构在基层对患者进行心电检查，将确认的心电数据上传到医共体服务信息平台的区域心电中心，上级医院医师通过调阅心电图像进行诊断并填写检查结果报告并上传，最后通过区域心电中心共享给基层医疗机构。</w:t>
      </w:r>
    </w:p>
    <w:p w14:paraId="64644034">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远程审核模式</w:t>
      </w:r>
    </w:p>
    <w:p w14:paraId="77087113">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区域心电中心需要支持远程审核模式的应用，远程审核模式是指当基层医疗机构在对患者进行心电诊疗过程中，不具备心电诊断报告审核资格的情况下，可由基层医生发起心电诊断报告审核申请，心电诊断中心接收申请，调阅患者心电资料，查看诊断报告并对心电诊断报告进行审核，完成审核后回传自基层医疗机构。基层医疗机构可对报告进行查看和打印。</w:t>
      </w:r>
    </w:p>
    <w:p w14:paraId="04D9C343">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心电基层工作站</w:t>
      </w:r>
    </w:p>
    <w:p w14:paraId="7FBDE059">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支持包括心电诊断申请、报到、图像关联与取消关联、远程诊断申请、拒绝申请、观片、回退、书写/删除报告、远程审核、审核报告、打印、参数等。</w:t>
      </w:r>
    </w:p>
    <w:p w14:paraId="2366670A">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心电诊断申请：基层医疗机构可以通过心电基层工作站，支持诊断申请的发起、修改、删除等。</w:t>
      </w:r>
    </w:p>
    <w:p w14:paraId="1577444B">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同时，需支持与HIS进行连通对接后信息自动提取。</w:t>
      </w:r>
    </w:p>
    <w:p w14:paraId="330C4D60">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支持临床、门诊医生工作站、体检工作站电子申请单集成。能够从HIS系统获得病人基本信息、诊断信息、检查要求等。</w:t>
      </w:r>
    </w:p>
    <w:p w14:paraId="280B1F59">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心电中心工作站</w:t>
      </w:r>
    </w:p>
    <w:p w14:paraId="420CD2FA">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 xml:space="preserve">观片：针对心电图进行观片，心电图数据可以进行不同视觉的观片，波形图根据用户自定义缩放与移动、测距等功能。 </w:t>
      </w:r>
    </w:p>
    <w:p w14:paraId="782CD613">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远程诊断：支持基层医疗机构向上级医院申请协助诊断，心电数据发送上级医院HIS系统，由其将诊断结果返回基层。支持IE浏览原始检查数据和诊断结论，支持WEB浏览中分析、测量心电图原始数据。具有在线心电图分析功能。</w:t>
      </w:r>
    </w:p>
    <w:p w14:paraId="152ABC3C">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心电诊断量统计：支持医共体内院内诊断量及远程诊断量的统计，支持自定义指标进行统计，包括基础指标、院内诊断、远程诊断等检索条件。</w:t>
      </w:r>
    </w:p>
    <w:p w14:paraId="3BABFB9D">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心电诊断查询：支持医共体内心电诊断协同数据明细查询。</w:t>
      </w:r>
    </w:p>
    <w:p w14:paraId="4D8CB765">
      <w:pPr>
        <w:pStyle w:val="5"/>
        <w:jc w:val="both"/>
        <w:rPr>
          <w:rFonts w:hint="eastAsia" w:ascii="宋体" w:hAnsi="宋体" w:eastAsia="宋体" w:cs="宋体"/>
          <w:sz w:val="24"/>
          <w:szCs w:val="22"/>
          <w:highlight w:val="none"/>
        </w:rPr>
      </w:pPr>
      <w:bookmarkStart w:id="23" w:name="_Toc25883"/>
      <w:bookmarkStart w:id="24" w:name="_Toc182836643"/>
      <w:r>
        <w:rPr>
          <w:rFonts w:hint="eastAsia" w:ascii="宋体" w:hAnsi="宋体" w:eastAsia="宋体" w:cs="宋体"/>
          <w:sz w:val="24"/>
          <w:szCs w:val="22"/>
          <w:highlight w:val="none"/>
        </w:rPr>
        <w:t>区域影像协同中心</w:t>
      </w:r>
      <w:bookmarkEnd w:id="23"/>
      <w:bookmarkEnd w:id="24"/>
    </w:p>
    <w:p w14:paraId="34990E6A">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依托县域医共体内的县级医院影像科室，建立区域影像中心，实现区域内影像资源的集中预约和集中诊断。</w:t>
      </w:r>
    </w:p>
    <w:p w14:paraId="6172976C">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基层预约模式</w:t>
      </w:r>
    </w:p>
    <w:p w14:paraId="268E3B49">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影像协同中心需支持基层预约模式的应用，基层预约模式是指基层医生或下级医院在自己的工作站上开具上级医院的检查项目，并且预约检查时间，患者在上级医院检查，报告回送到下级医院的工作站，上级医院的检查科室直接为下级医院服务。</w:t>
      </w:r>
    </w:p>
    <w:p w14:paraId="2E094713">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提供功能包括委托检查申请、协调中心审核接单、检查报告处理等。</w:t>
      </w:r>
    </w:p>
    <w:p w14:paraId="30A66D13">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远程诊断模式</w:t>
      </w:r>
    </w:p>
    <w:p w14:paraId="1BBAA5E5">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影像协同中心需支持远程诊断模式的应用，远程诊断模式是远程诊断模式是指，当基层医务人员或基层医疗医院根据患者病情需要，在对其进行影像诊疗过程中，需要提请上级医院协助，远程查阅基层医疗机构或下级医院的检查影像图片，并下达检查报告的功能。</w:t>
      </w:r>
    </w:p>
    <w:p w14:paraId="39308147">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基层医生发起影像诊断申请、影像诊断中心接收申请、调阅患者影像资料，书写诊断报告并回传，基层医疗机构可对报告进行查看和打印。</w:t>
      </w:r>
    </w:p>
    <w:p w14:paraId="43A98CE6">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诊断过程中需支持对申请单查看、患者电子病历调阅、影像阅片、临时保存、填写检查报告单、报告诊断保存、审核检查报告单、报告回退、报告预览、协同申请、拒绝申请、协同流程查看、报告痕迹查看、添加范文等操作。</w:t>
      </w:r>
    </w:p>
    <w:p w14:paraId="09422F06">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填写检查报告单时，需支持对报告词句、报告范文的直接引用，支持对历次检查、影像列表的查看。</w:t>
      </w:r>
    </w:p>
    <w:p w14:paraId="6CB37B99">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远程审核模式</w:t>
      </w:r>
    </w:p>
    <w:p w14:paraId="14A1F519">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影像协同中心需支持远程审核模式的应用，远程审核模式是指，当基层医疗机构在对患者进行影像诊疗过程中，不具备影像诊断报告审核资格的情况下，可由基层医生发起影像诊断报告审核申请，影像诊断中心接收申请，调阅患者影像资料，查看诊断报告并对影像诊断报告进行审核，完成审核后回传自基层医疗机构。基层医疗机构可对报告进行查看和打印。</w:t>
      </w:r>
    </w:p>
    <w:p w14:paraId="283DA7F1">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区域影像质控管理</w:t>
      </w:r>
    </w:p>
    <w:p w14:paraId="573C0438">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区域影像协同中心可以查看影像协同过程中的质控情况，包括质控记录、质控抽样明细、质控扣分明细等。</w:t>
      </w:r>
    </w:p>
    <w:p w14:paraId="565E0D5A">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协同管理</w:t>
      </w:r>
    </w:p>
    <w:p w14:paraId="1665BF03">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协同管理需支持对协同费用、协同接受量、报告及时率、报告阳性率、协同申请量、医生工作量等的统计。提供检查设备画像、检查人员画像。</w:t>
      </w:r>
    </w:p>
    <w:p w14:paraId="2855A13C">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需支持根据需求配置首页统计指标以及数据展示方式，包括环饼图、柱状图、折线图、仪表图、对比图、地图等。</w:t>
      </w:r>
    </w:p>
    <w:p w14:paraId="26DADCAB">
      <w:pPr>
        <w:pStyle w:val="5"/>
        <w:jc w:val="both"/>
        <w:rPr>
          <w:rFonts w:hint="eastAsia" w:ascii="宋体" w:hAnsi="宋体" w:eastAsia="宋体" w:cs="宋体"/>
          <w:sz w:val="24"/>
          <w:szCs w:val="22"/>
          <w:highlight w:val="none"/>
        </w:rPr>
      </w:pPr>
      <w:bookmarkStart w:id="25" w:name="_Toc182836644"/>
      <w:bookmarkStart w:id="26" w:name="_Toc12590"/>
      <w:r>
        <w:rPr>
          <w:rFonts w:hint="eastAsia" w:ascii="宋体" w:hAnsi="宋体" w:eastAsia="宋体" w:cs="宋体"/>
          <w:sz w:val="24"/>
          <w:szCs w:val="22"/>
          <w:highlight w:val="none"/>
        </w:rPr>
        <w:t>区域审方中心</w:t>
      </w:r>
      <w:bookmarkEnd w:id="25"/>
    </w:p>
    <w:p w14:paraId="1314E7C9">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临床医生站合理用药系统审查分流</w:t>
      </w:r>
    </w:p>
    <w:p w14:paraId="77985285">
      <w:pPr>
        <w:rPr>
          <w:rFonts w:hint="eastAsia" w:ascii="宋体" w:hAnsi="宋体" w:eastAsia="宋体" w:cs="宋体"/>
          <w:sz w:val="22"/>
          <w:szCs w:val="16"/>
          <w:highlight w:val="none"/>
        </w:rPr>
      </w:pPr>
      <w:r>
        <w:rPr>
          <w:rFonts w:hint="eastAsia" w:ascii="宋体" w:hAnsi="宋体" w:eastAsia="宋体" w:cs="宋体"/>
          <w:sz w:val="22"/>
          <w:szCs w:val="16"/>
          <w:highlight w:val="none"/>
        </w:rPr>
        <w:t>对在医生站当前处方/医嘱存在不合理用药问题进行自动分流，无不合理用药问题处方/医嘱可直接通过至收费，如存在问题则由医生进行选择：返回修改或提交至药师进行审核。</w:t>
      </w:r>
    </w:p>
    <w:p w14:paraId="59AB273A">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（1）支持医生填写用药理由</w:t>
      </w:r>
    </w:p>
    <w:p w14:paraId="09F4BA7A">
      <w:pPr>
        <w:rPr>
          <w:rFonts w:hint="eastAsia" w:ascii="宋体" w:hAnsi="宋体" w:eastAsia="宋体" w:cs="宋体"/>
          <w:sz w:val="22"/>
          <w:szCs w:val="16"/>
          <w:highlight w:val="none"/>
        </w:rPr>
      </w:pPr>
      <w:r>
        <w:rPr>
          <w:rFonts w:hint="eastAsia" w:ascii="宋体" w:hAnsi="宋体" w:eastAsia="宋体" w:cs="宋体"/>
          <w:sz w:val="22"/>
          <w:szCs w:val="16"/>
          <w:highlight w:val="none"/>
        </w:rPr>
        <w:t>提交至药师进行审核的处方/医嘱可填写用药理由，该理由可以挂接在具体用药医嘱上。</w:t>
      </w:r>
    </w:p>
    <w:p w14:paraId="44DB8107">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（2）支持读秒设置</w:t>
      </w:r>
    </w:p>
    <w:p w14:paraId="08B3EECA">
      <w:pPr>
        <w:ind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当问题处方/医嘱提交至药师进行审核后，系统开始读秒，读秒期间医生无法进行提交操作，读秒结束后如还没有药师的审核信息返回，该处方/医嘱自动通过可继续进行提交操作。</w:t>
      </w:r>
    </w:p>
    <w:p w14:paraId="4B5E2EA1">
      <w:pPr>
        <w:ind w:firstLine="0" w:firstLineChars="0"/>
        <w:rPr>
          <w:rFonts w:hint="eastAsia" w:ascii="宋体" w:hAnsi="宋体" w:eastAsia="宋体" w:cs="宋体"/>
          <w:sz w:val="22"/>
          <w:szCs w:val="16"/>
          <w:highlight w:val="none"/>
        </w:rPr>
      </w:pPr>
      <w:r>
        <w:rPr>
          <w:rFonts w:hint="eastAsia" w:ascii="宋体" w:hAnsi="宋体" w:eastAsia="宋体" w:cs="宋体"/>
          <w:sz w:val="21"/>
          <w:szCs w:val="24"/>
        </w:rPr>
        <w:t>★</w:t>
      </w:r>
      <w:r>
        <w:rPr>
          <w:rFonts w:hint="eastAsia" w:ascii="宋体" w:hAnsi="宋体" w:eastAsia="宋体" w:cs="宋体"/>
          <w:sz w:val="22"/>
          <w:szCs w:val="16"/>
          <w:highlight w:val="none"/>
        </w:rPr>
        <w:t>（3）合理用药分级分流基本级别</w:t>
      </w:r>
      <w:r>
        <w:rPr>
          <w:rFonts w:hint="eastAsia" w:ascii="宋体" w:hAnsi="宋体" w:eastAsia="宋体" w:cs="宋体"/>
          <w:sz w:val="22"/>
          <w:szCs w:val="16"/>
          <w:highlight w:val="none"/>
        </w:rPr>
        <w:br w:type="textWrapping"/>
      </w:r>
      <w:r>
        <w:rPr>
          <w:rFonts w:hint="eastAsia" w:ascii="宋体" w:hAnsi="宋体" w:eastAsia="宋体" w:cs="宋体"/>
          <w:sz w:val="22"/>
          <w:szCs w:val="16"/>
          <w:highlight w:val="none"/>
        </w:rPr>
        <w:t>①支持“无提示”级别设置；</w:t>
      </w:r>
      <w:r>
        <w:rPr>
          <w:rFonts w:hint="eastAsia" w:ascii="宋体" w:hAnsi="宋体" w:eastAsia="宋体" w:cs="宋体"/>
          <w:sz w:val="22"/>
          <w:szCs w:val="16"/>
          <w:highlight w:val="none"/>
        </w:rPr>
        <w:br w:type="textWrapping"/>
      </w:r>
      <w:r>
        <w:rPr>
          <w:rFonts w:hint="eastAsia" w:ascii="宋体" w:hAnsi="宋体" w:eastAsia="宋体" w:cs="宋体"/>
          <w:sz w:val="22"/>
          <w:szCs w:val="16"/>
          <w:highlight w:val="none"/>
        </w:rPr>
        <w:t>②支持仅“警示”级别设置；</w:t>
      </w:r>
      <w:r>
        <w:rPr>
          <w:rFonts w:hint="eastAsia" w:ascii="宋体" w:hAnsi="宋体" w:eastAsia="宋体" w:cs="宋体"/>
          <w:sz w:val="22"/>
          <w:szCs w:val="16"/>
          <w:highlight w:val="none"/>
        </w:rPr>
        <w:br w:type="textWrapping"/>
      </w:r>
      <w:r>
        <w:rPr>
          <w:rFonts w:hint="eastAsia" w:ascii="宋体" w:hAnsi="宋体" w:eastAsia="宋体" w:cs="宋体"/>
          <w:sz w:val="22"/>
          <w:szCs w:val="16"/>
          <w:highlight w:val="none"/>
        </w:rPr>
        <w:t>③支持“警示，用药理由”级别设置；</w:t>
      </w:r>
      <w:r>
        <w:rPr>
          <w:rFonts w:hint="eastAsia" w:ascii="宋体" w:hAnsi="宋体" w:eastAsia="宋体" w:cs="宋体"/>
          <w:sz w:val="22"/>
          <w:szCs w:val="16"/>
          <w:highlight w:val="none"/>
        </w:rPr>
        <w:br w:type="textWrapping"/>
      </w:r>
      <w:r>
        <w:rPr>
          <w:rFonts w:hint="eastAsia" w:ascii="宋体" w:hAnsi="宋体" w:eastAsia="宋体" w:cs="宋体"/>
          <w:sz w:val="22"/>
          <w:szCs w:val="16"/>
          <w:highlight w:val="none"/>
        </w:rPr>
        <w:t>④支持“</w:t>
      </w:r>
      <w:r>
        <w:rPr>
          <w:rFonts w:hint="eastAsia" w:ascii="宋体" w:hAnsi="宋体" w:eastAsia="宋体" w:cs="宋体"/>
          <w:sz w:val="22"/>
          <w:szCs w:val="16"/>
          <w:highlight w:val="none"/>
          <w:lang w:val="en-US" w:eastAsia="zh-CN"/>
        </w:rPr>
        <w:t>药师</w:t>
      </w:r>
      <w:r>
        <w:rPr>
          <w:rFonts w:hint="eastAsia" w:ascii="宋体" w:hAnsi="宋体" w:eastAsia="宋体" w:cs="宋体"/>
          <w:sz w:val="22"/>
          <w:szCs w:val="16"/>
          <w:highlight w:val="none"/>
        </w:rPr>
        <w:t>”级别设置；</w:t>
      </w:r>
      <w:r>
        <w:rPr>
          <w:rFonts w:hint="eastAsia" w:ascii="宋体" w:hAnsi="宋体" w:eastAsia="宋体" w:cs="宋体"/>
          <w:sz w:val="22"/>
          <w:szCs w:val="16"/>
          <w:highlight w:val="none"/>
        </w:rPr>
        <w:br w:type="textWrapping"/>
      </w:r>
      <w:r>
        <w:rPr>
          <w:rFonts w:hint="eastAsia" w:ascii="宋体" w:hAnsi="宋体" w:eastAsia="宋体" w:cs="宋体"/>
          <w:sz w:val="22"/>
          <w:szCs w:val="16"/>
          <w:highlight w:val="none"/>
        </w:rPr>
        <w:t>⑤支持“管控”级别设置；</w:t>
      </w:r>
      <w:r>
        <w:rPr>
          <w:rFonts w:hint="eastAsia" w:ascii="宋体" w:hAnsi="宋体" w:eastAsia="宋体" w:cs="宋体"/>
          <w:sz w:val="22"/>
          <w:szCs w:val="16"/>
          <w:highlight w:val="none"/>
        </w:rPr>
        <w:br w:type="textWrapping"/>
      </w:r>
      <w:r>
        <w:rPr>
          <w:rFonts w:hint="eastAsia" w:ascii="宋体" w:hAnsi="宋体" w:eastAsia="宋体" w:cs="宋体"/>
          <w:sz w:val="22"/>
          <w:szCs w:val="16"/>
          <w:highlight w:val="none"/>
        </w:rPr>
        <w:t>⑥支持“管控，用药理由”级别设置。</w:t>
      </w:r>
    </w:p>
    <w:p w14:paraId="1A6565B2">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门诊/住院药师前置审方工作站</w:t>
      </w:r>
    </w:p>
    <w:p w14:paraId="6BC0090A">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系统提供药师专门的前置审方界面，在界面上可以查看当前最新审方任务，并可查看当天已经审查的任务。</w:t>
      </w:r>
    </w:p>
    <w:p w14:paraId="131E4961">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（1）支持审查开关设置</w:t>
      </w:r>
    </w:p>
    <w:p w14:paraId="07BF1D2A">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可设置前置审方功能开启/关闭，如药师不当值时，可关闭前置审方功能，系统则不在进行问题处方/医嘱分流。</w:t>
      </w:r>
    </w:p>
    <w:p w14:paraId="60B3B232">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（2）支持托管设置</w:t>
      </w:r>
    </w:p>
    <w:p w14:paraId="0867CF5F">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如药师有事需要暂时离开，可使用托管功能进行系统托管，托管开启后，医生将必须填写用药理由，问题处方/医嘱可直接通过。</w:t>
      </w:r>
    </w:p>
    <w:p w14:paraId="33D0C6BD">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任务设置</w:t>
      </w:r>
    </w:p>
    <w:p w14:paraId="78CD9C51">
      <w:pPr>
        <w:rPr>
          <w:rFonts w:hint="eastAsia" w:ascii="宋体" w:hAnsi="宋体" w:eastAsia="宋体" w:cs="宋体"/>
          <w:sz w:val="22"/>
          <w:szCs w:val="16"/>
          <w:highlight w:val="none"/>
        </w:rPr>
      </w:pPr>
      <w:r>
        <w:rPr>
          <w:rFonts w:hint="eastAsia" w:ascii="宋体" w:hAnsi="宋体" w:eastAsia="宋体" w:cs="宋体"/>
          <w:sz w:val="22"/>
          <w:szCs w:val="16"/>
          <w:highlight w:val="none"/>
        </w:rPr>
        <w:t>如有新的审方任务需要药师进行审查，新任务会自动加载审查任务无须药师手动刷新页面。新任务列表可查看当前任务的剩余读秒数、全新任务/申诉任务标识、重点监控药品标记。任务查看以当次就诊为主线可分不同处分号进行信息展示中可查看病人姓名、性别、年龄、身高、体重、过敏史、诊断、特殊状态、EMR链接、当前病人最新检验检查信息查询，多处方审查问题标识、药品及系统审查信息（住院审查可按照问题医嘱、新开医嘱、停用医嘱、作废医嘱、全部医嘱进行医嘱筛选）</w:t>
      </w:r>
    </w:p>
    <w:p w14:paraId="638949D9">
      <w:pPr>
        <w:rPr>
          <w:rFonts w:hint="eastAsia" w:ascii="宋体" w:hAnsi="宋体" w:eastAsia="宋体" w:cs="宋体"/>
          <w:sz w:val="22"/>
          <w:szCs w:val="16"/>
          <w:highlight w:val="none"/>
        </w:rPr>
      </w:pPr>
      <w:r>
        <w:rPr>
          <w:rFonts w:hint="eastAsia" w:ascii="宋体" w:hAnsi="宋体" w:eastAsia="宋体" w:cs="宋体"/>
          <w:sz w:val="22"/>
          <w:szCs w:val="16"/>
          <w:highlight w:val="none"/>
        </w:rPr>
        <w:t>药师可查看当前任务干预记录，干预记录中需要体现“处方修改”信息以及本次干预任务的时间、事件记录</w:t>
      </w:r>
    </w:p>
    <w:p w14:paraId="7FE6BB3C">
      <w:pPr>
        <w:rPr>
          <w:rFonts w:hint="eastAsia" w:ascii="宋体" w:hAnsi="宋体" w:eastAsia="宋体" w:cs="宋体"/>
          <w:sz w:val="22"/>
          <w:szCs w:val="16"/>
          <w:highlight w:val="none"/>
        </w:rPr>
      </w:pPr>
      <w:r>
        <w:rPr>
          <w:rFonts w:hint="eastAsia" w:ascii="宋体" w:hAnsi="宋体" w:eastAsia="宋体" w:cs="宋体"/>
          <w:sz w:val="22"/>
          <w:szCs w:val="16"/>
          <w:highlight w:val="none"/>
        </w:rPr>
        <w:t>药师可对系统审查的问题以及医生用药理由进行查看，并选择问题添加药师备注并进行干预操作选择：（1）药师通过（2）药师不通过（3）药师允许通过需要医生双签（4）药师不赞同通过同意医生双签。</w:t>
      </w:r>
    </w:p>
    <w:p w14:paraId="5BAA4169">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待确认/已通过任务</w:t>
      </w:r>
    </w:p>
    <w:p w14:paraId="24F588CE">
      <w:pPr>
        <w:rPr>
          <w:rFonts w:hint="eastAsia" w:ascii="宋体" w:hAnsi="宋体" w:eastAsia="宋体" w:cs="宋体"/>
          <w:sz w:val="22"/>
          <w:szCs w:val="16"/>
          <w:highlight w:val="none"/>
        </w:rPr>
      </w:pPr>
      <w:r>
        <w:rPr>
          <w:rFonts w:hint="eastAsia" w:ascii="宋体" w:hAnsi="宋体" w:eastAsia="宋体" w:cs="宋体"/>
          <w:sz w:val="22"/>
          <w:szCs w:val="16"/>
          <w:highlight w:val="none"/>
        </w:rPr>
        <w:t>药师可在系统中分不同页面查询当前等待医生进行双签、申诉的任务列表以及完成干预最终通过到收费的列表。</w:t>
      </w:r>
    </w:p>
    <w:p w14:paraId="103054DD">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双签流程</w:t>
      </w:r>
    </w:p>
    <w:p w14:paraId="2A487E56">
      <w:pPr>
        <w:rPr>
          <w:rFonts w:hint="eastAsia" w:ascii="宋体" w:hAnsi="宋体" w:eastAsia="宋体" w:cs="宋体"/>
          <w:sz w:val="22"/>
          <w:szCs w:val="16"/>
          <w:highlight w:val="none"/>
        </w:rPr>
      </w:pPr>
      <w:r>
        <w:rPr>
          <w:rFonts w:hint="eastAsia" w:ascii="宋体" w:hAnsi="宋体" w:eastAsia="宋体" w:cs="宋体"/>
          <w:sz w:val="22"/>
          <w:szCs w:val="16"/>
          <w:highlight w:val="none"/>
        </w:rPr>
        <w:t>在药师干预过程中，药师可对当前任务进行允许双签设置，设置可双签通过后，医生可直接点击执行双签完成双签流程，当前处方/医嘱及自动通过。</w:t>
      </w:r>
    </w:p>
    <w:p w14:paraId="15B04932">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可设置允许医生发起双签</w:t>
      </w:r>
    </w:p>
    <w:p w14:paraId="039C2D9D">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当系统设置为允许医生发起双签后，对于不通过的处方/医嘱医生可直接执行双签并通过。</w:t>
      </w:r>
    </w:p>
    <w:p w14:paraId="6DEC6E9C">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超时开关以及超时设置</w:t>
      </w:r>
    </w:p>
    <w:p w14:paraId="0D268156">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系统能开启/关闭读秒功能，并对读秒进行秒数设置。</w:t>
      </w:r>
    </w:p>
    <w:p w14:paraId="6CD65B13">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支持审方一键延时设置</w:t>
      </w:r>
    </w:p>
    <w:p w14:paraId="76765918">
      <w:pPr>
        <w:ind w:firstLine="420" w:firstLineChars="0"/>
        <w:rPr>
          <w:rFonts w:hint="eastAsia" w:ascii="宋体" w:hAnsi="宋体" w:eastAsia="宋体" w:cs="宋体"/>
          <w:sz w:val="22"/>
          <w:szCs w:val="16"/>
          <w:highlight w:val="none"/>
        </w:rPr>
      </w:pPr>
      <w:r>
        <w:rPr>
          <w:rFonts w:hint="eastAsia" w:ascii="宋体" w:hAnsi="宋体" w:eastAsia="宋体" w:cs="宋体"/>
          <w:sz w:val="21"/>
          <w:szCs w:val="21"/>
          <w:highlight w:val="none"/>
        </w:rPr>
        <w:t>▲</w:t>
      </w:r>
      <w:r>
        <w:rPr>
          <w:rFonts w:hint="eastAsia" w:ascii="宋体" w:hAnsi="宋体" w:eastAsia="宋体" w:cs="宋体"/>
          <w:sz w:val="22"/>
          <w:szCs w:val="16"/>
          <w:highlight w:val="none"/>
        </w:rPr>
        <w:t>系统支持药师可对当前的审方任务“一键延时审方”。若审方时间快到了，一键延长当前任务审方时间，为避免延时功能滥用，药师可延时并只允许对当前任务延时一次操作。</w:t>
      </w:r>
    </w:p>
    <w:p w14:paraId="471E3C02">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双签设置</w:t>
      </w:r>
    </w:p>
    <w:p w14:paraId="2846457C">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可设置是否允许医生发起双签。</w:t>
      </w:r>
    </w:p>
    <w:p w14:paraId="1EE2E44A">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科室及任务分配</w:t>
      </w:r>
    </w:p>
    <w:p w14:paraId="7FD1B9A3">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系统可设置开启前置审方的科室、并对科室列表进行药师分配。未进行药师分配则采用任务轮流分配制度。</w:t>
      </w:r>
    </w:p>
    <w:p w14:paraId="60756910">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问题模板</w:t>
      </w:r>
    </w:p>
    <w:p w14:paraId="37E736CE">
      <w:pPr>
        <w:rPr>
          <w:rFonts w:hint="eastAsia" w:ascii="宋体" w:hAnsi="宋体" w:eastAsia="宋体" w:cs="宋体"/>
          <w:sz w:val="22"/>
          <w:szCs w:val="16"/>
          <w:highlight w:val="none"/>
        </w:rPr>
      </w:pPr>
      <w:r>
        <w:rPr>
          <w:rFonts w:hint="eastAsia" w:ascii="宋体" w:hAnsi="宋体" w:eastAsia="宋体" w:cs="宋体"/>
          <w:sz w:val="22"/>
          <w:szCs w:val="16"/>
          <w:highlight w:val="none"/>
        </w:rPr>
        <w:t>系统提供药师维护界面，能够分医生/药师进行用药理由快速填写设置方便医生药师工作。</w:t>
      </w:r>
    </w:p>
    <w:p w14:paraId="04B284DE">
      <w:pPr>
        <w:pStyle w:val="6"/>
        <w:numPr>
          <w:ilvl w:val="4"/>
          <w:numId w:val="0"/>
        </w:numPr>
        <w:spacing w:before="120" w:after="1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审查标准设置</w:t>
      </w:r>
    </w:p>
    <w:p w14:paraId="01EDA2A8">
      <w:pPr>
        <w:rPr>
          <w:rFonts w:hint="eastAsia" w:ascii="宋体" w:hAnsi="宋体" w:eastAsia="宋体" w:cs="宋体"/>
          <w:sz w:val="22"/>
          <w:szCs w:val="16"/>
          <w:highlight w:val="none"/>
        </w:rPr>
      </w:pPr>
      <w:r>
        <w:rPr>
          <w:rFonts w:hint="eastAsia" w:ascii="宋体" w:hAnsi="宋体" w:eastAsia="宋体" w:cs="宋体"/>
          <w:sz w:val="22"/>
          <w:szCs w:val="16"/>
          <w:highlight w:val="none"/>
        </w:rPr>
        <w:t>系统可对于前置审方规则进行设置，能分不同审查项目设置审查数据来源以及最低警示级别标准。</w:t>
      </w:r>
    </w:p>
    <w:p w14:paraId="6FCBC70E">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前置审方统计</w:t>
      </w:r>
    </w:p>
    <w:p w14:paraId="45988E4D">
      <w:pPr>
        <w:ind w:firstLine="330" w:firstLineChars="150"/>
        <w:rPr>
          <w:rFonts w:hint="eastAsia" w:ascii="宋体" w:hAnsi="宋体" w:eastAsia="宋体" w:cs="宋体"/>
          <w:sz w:val="22"/>
          <w:szCs w:val="16"/>
          <w:highlight w:val="none"/>
        </w:rPr>
      </w:pPr>
      <w:r>
        <w:rPr>
          <w:rFonts w:hint="eastAsia" w:ascii="宋体" w:hAnsi="宋体" w:eastAsia="宋体" w:cs="宋体"/>
          <w:sz w:val="22"/>
          <w:szCs w:val="16"/>
          <w:highlight w:val="none"/>
        </w:rPr>
        <w:t>系统提供前置审方统计工作，能分别对门急诊及住院药师工作量、干预情况、审方通过类型进行年、季度、月的汇总统计。</w:t>
      </w:r>
    </w:p>
    <w:p w14:paraId="10872F38">
      <w:pPr>
        <w:pStyle w:val="21"/>
        <w:numPr>
          <w:ilvl w:val="0"/>
          <w:numId w:val="7"/>
        </w:numPr>
        <w:spacing w:line="360" w:lineRule="auto"/>
        <w:ind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支持药师审方工作量统计</w:t>
      </w:r>
    </w:p>
    <w:p w14:paraId="08BF4970">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系统能区分年报、月报、日报就药师审核次数、干预次数、干预率、医生修改次数、有效干预率进行统计。</w:t>
      </w:r>
    </w:p>
    <w:p w14:paraId="3252D8DC">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（2） 支持临床被干预排名统计</w:t>
      </w:r>
    </w:p>
    <w:p w14:paraId="0D197F7D">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系统能分科室、医生对干预数量及干预率进行统计及排名。</w:t>
      </w:r>
    </w:p>
    <w:p w14:paraId="2F012648">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（3） 支持通过类型统计</w:t>
      </w:r>
    </w:p>
    <w:p w14:paraId="63702003">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根据药师智能审核系统流程能够对药师通过、医生修改后系统自动通过、医生修改后药师通过、医生双签通过、系统通过、超时通过等不同情况进行统计，整体把握药师审方情况。</w:t>
      </w:r>
    </w:p>
    <w:p w14:paraId="75A77C2A">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（4） 支持审方清单</w:t>
      </w:r>
    </w:p>
    <w:p w14:paraId="3A8FF1E6">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系统能针对不同病人进行审方整体流程重现。</w:t>
      </w:r>
    </w:p>
    <w:bookmarkEnd w:id="26"/>
    <w:p w14:paraId="71471366">
      <w:pPr>
        <w:pStyle w:val="6"/>
        <w:jc w:val="both"/>
        <w:rPr>
          <w:rFonts w:hint="eastAsia" w:ascii="宋体" w:hAnsi="宋体" w:eastAsia="宋体" w:cs="宋体"/>
          <w:sz w:val="24"/>
          <w:szCs w:val="22"/>
          <w:highlight w:val="none"/>
          <w:lang w:eastAsia="zh-CN"/>
        </w:rPr>
      </w:pPr>
      <w:bookmarkStart w:id="27" w:name="_Toc182836645"/>
      <w:r>
        <w:rPr>
          <w:rFonts w:hint="eastAsia" w:ascii="宋体" w:hAnsi="宋体" w:eastAsia="宋体" w:cs="宋体"/>
          <w:sz w:val="24"/>
          <w:szCs w:val="22"/>
          <w:highlight w:val="none"/>
        </w:rPr>
        <w:t>远程会诊中心系统</w:t>
      </w:r>
      <w:bookmarkEnd w:id="27"/>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包含协同门诊</w:t>
      </w:r>
      <w:r>
        <w:rPr>
          <w:rFonts w:hint="eastAsia" w:ascii="宋体" w:hAnsi="宋体" w:cs="宋体"/>
          <w:sz w:val="24"/>
          <w:szCs w:val="22"/>
          <w:highlight w:val="none"/>
          <w:lang w:eastAsia="zh-CN"/>
        </w:rPr>
        <w:t>）</w:t>
      </w:r>
    </w:p>
    <w:p w14:paraId="5F672BBC">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远程会诊管理</w:t>
      </w:r>
    </w:p>
    <w:p w14:paraId="610C5904">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会诊申请与取消：基层医疗机构需要上级医院专家协助会诊时，登陆平台提出申请，同时支持取消申请。</w:t>
      </w:r>
    </w:p>
    <w:p w14:paraId="5F08C0DF">
      <w:pPr>
        <w:spacing w:before="36" w:after="36"/>
        <w:ind w:firstLine="480"/>
        <w:rPr>
          <w:rFonts w:hint="eastAsia" w:ascii="宋体" w:hAnsi="宋体" w:eastAsia="宋体" w:cs="宋体"/>
          <w:sz w:val="22"/>
          <w:szCs w:val="16"/>
          <w:highlight w:val="none"/>
        </w:rPr>
      </w:pPr>
      <w:r>
        <w:rPr>
          <w:rFonts w:hint="eastAsia" w:ascii="宋体" w:hAnsi="宋体" w:eastAsia="宋体" w:cs="宋体"/>
          <w:sz w:val="22"/>
          <w:szCs w:val="16"/>
          <w:highlight w:val="none"/>
        </w:rPr>
        <w:t>居民EMR调阅：支持病历同步，支持文本、PDF、图片等格式病历文件的调阅；支持受邀会诊医生快速调阅会诊病人的病历资料。</w:t>
      </w:r>
    </w:p>
    <w:p w14:paraId="7679B329">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会诊信息查询：支持临床会诊业务提醒，会诊过程的每个阶段可收到消息提醒，可点击消息提醒处理对应的业务。</w:t>
      </w:r>
    </w:p>
    <w:p w14:paraId="0B501186">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支持临床会诊的流程查看，能够清晰的了解整个过程中每个阶段的情况，包括待安排、已安排、会诊中、报告中、已拒绝、会诊结束等状态。</w:t>
      </w:r>
    </w:p>
    <w:p w14:paraId="05F8E1D5">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支持预约多个科室或医生的临床会诊服务。</w:t>
      </w:r>
    </w:p>
    <w:p w14:paraId="1A63D569">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远程会诊安排</w:t>
      </w:r>
    </w:p>
    <w:p w14:paraId="4231F8DC">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支持审核人员对跨机构的临床会诊申请进行审核；</w:t>
      </w:r>
    </w:p>
    <w:p w14:paraId="4699BAA2">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支持驳回临床会诊申请，申请医生修改后可以再次提交；</w:t>
      </w:r>
    </w:p>
    <w:p w14:paraId="45B7ECAD">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支持审核权限配置，由指定人员进行审核；</w:t>
      </w:r>
    </w:p>
    <w:p w14:paraId="21967BFE">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支持查看患者病历信息，根据病历信息进行审核判断。</w:t>
      </w:r>
    </w:p>
    <w:p w14:paraId="63873AAF">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我的会诊安排</w:t>
      </w:r>
    </w:p>
    <w:p w14:paraId="215A93A6">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实时音视频互动：会诊专家、申请医生和参诊人员可以进行多方音视频互动，进行远程会诊讨论。</w:t>
      </w:r>
    </w:p>
    <w:p w14:paraId="5B14C613">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图像抓拍：远程会诊进行中，会诊专家可以对病人的病历资料、影像资料等进行实时抓拍保存。</w:t>
      </w:r>
    </w:p>
    <w:p w14:paraId="014BB9FC">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音视频录制：在进行远程会诊的同时，系统可以对远程会诊的过程进行录制，将诊断过程中的语音和视频进行回放或作为资料进行保存。</w:t>
      </w:r>
    </w:p>
    <w:p w14:paraId="72FA4178">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专家出具报告。</w:t>
      </w:r>
    </w:p>
    <w:p w14:paraId="0C525D53">
      <w:pPr>
        <w:pStyle w:val="13"/>
        <w:keepNext w:val="0"/>
        <w:keepLines w:val="0"/>
        <w:widowControl/>
        <w:suppressLineNumbers w:val="0"/>
        <w:ind w:left="0" w:leftChars="0" w:firstLine="0" w:firstLineChars="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协同门诊服务</w:t>
      </w:r>
    </w:p>
    <w:p w14:paraId="5C465F31">
      <w:pPr>
        <w:pStyle w:val="13"/>
        <w:keepNext w:val="0"/>
        <w:keepLines w:val="0"/>
        <w:widowControl/>
        <w:suppressLineNumbers w:val="0"/>
        <w:rPr>
          <w:rFonts w:hint="eastAsia" w:ascii="宋体" w:hAnsi="宋体" w:eastAsia="宋体" w:cs="宋体"/>
          <w:color w:val="auto"/>
          <w:kern w:val="2"/>
          <w:sz w:val="22"/>
          <w:szCs w:val="16"/>
          <w:highlight w:val="none"/>
          <w:lang w:val="en-US" w:eastAsia="zh-CN" w:bidi="ar-SA"/>
        </w:rPr>
      </w:pPr>
      <w:r>
        <w:rPr>
          <w:rFonts w:hint="eastAsia" w:ascii="宋体" w:hAnsi="宋体" w:eastAsia="宋体" w:cs="宋体"/>
          <w:color w:val="auto"/>
          <w:kern w:val="2"/>
          <w:sz w:val="22"/>
          <w:szCs w:val="16"/>
          <w:highlight w:val="none"/>
          <w:lang w:val="en-US" w:eastAsia="zh-CN" w:bidi="ar-SA"/>
        </w:rPr>
        <w:t>协同门诊服务基层医疗卫生机构在服务患者过程中遇到需要协同诊疗的情况可随时向上级单位专家发起音视频通话功能，共享病历资料，由上级医院专家协同诊断。</w:t>
      </w:r>
    </w:p>
    <w:p w14:paraId="065EEECC">
      <w:pPr>
        <w:pStyle w:val="13"/>
        <w:keepNext w:val="0"/>
        <w:keepLines w:val="0"/>
        <w:widowControl/>
        <w:suppressLineNumbers w:val="0"/>
        <w:rPr>
          <w:rFonts w:hint="eastAsia" w:ascii="宋体" w:hAnsi="宋体" w:eastAsia="宋体" w:cs="宋体"/>
          <w:color w:val="auto"/>
          <w:kern w:val="2"/>
          <w:sz w:val="22"/>
          <w:szCs w:val="16"/>
          <w:highlight w:val="none"/>
          <w:lang w:val="en-US" w:eastAsia="zh-CN" w:bidi="ar-SA"/>
        </w:rPr>
      </w:pPr>
      <w:r>
        <w:rPr>
          <w:rFonts w:hint="eastAsia" w:ascii="宋体" w:hAnsi="宋体" w:eastAsia="宋体" w:cs="宋体"/>
          <w:color w:val="auto"/>
          <w:kern w:val="2"/>
          <w:sz w:val="22"/>
          <w:szCs w:val="16"/>
          <w:highlight w:val="none"/>
          <w:lang w:val="en-US" w:eastAsia="zh-CN" w:bidi="ar-SA"/>
        </w:rPr>
        <w:t>服务提醒：可获取实时插号提醒，基层医疗机构发起的协同服务要求时，上级单位专家会接收到协同服务消息提醒。消息内容涵盖患者基本信息及简单病情描述等。</w:t>
      </w:r>
    </w:p>
    <w:p w14:paraId="6C83748F">
      <w:pPr>
        <w:pStyle w:val="13"/>
        <w:keepNext w:val="0"/>
        <w:keepLines w:val="0"/>
        <w:widowControl/>
        <w:suppressLineNumbers w:val="0"/>
        <w:rPr>
          <w:rFonts w:hint="eastAsia" w:ascii="宋体" w:hAnsi="宋体" w:eastAsia="宋体" w:cs="宋体"/>
          <w:color w:val="auto"/>
          <w:kern w:val="2"/>
          <w:sz w:val="22"/>
          <w:szCs w:val="16"/>
          <w:highlight w:val="none"/>
          <w:lang w:val="en-US" w:eastAsia="zh-CN" w:bidi="ar-SA"/>
        </w:rPr>
      </w:pPr>
      <w:r>
        <w:rPr>
          <w:rFonts w:hint="eastAsia" w:ascii="宋体" w:hAnsi="宋体" w:eastAsia="宋体" w:cs="宋体"/>
          <w:color w:val="auto"/>
          <w:kern w:val="2"/>
          <w:sz w:val="22"/>
          <w:szCs w:val="16"/>
          <w:highlight w:val="none"/>
          <w:lang w:val="en-US" w:eastAsia="zh-CN" w:bidi="ar-SA"/>
        </w:rPr>
        <w:t>音视频通话：具备音视频通话功能，可做线上沟通、交流，支持桌面共享，支持保存通话记录。</w:t>
      </w:r>
    </w:p>
    <w:p w14:paraId="17363E25">
      <w:pPr>
        <w:pStyle w:val="13"/>
        <w:keepNext w:val="0"/>
        <w:keepLines w:val="0"/>
        <w:widowControl/>
        <w:suppressLineNumbers w:val="0"/>
        <w:rPr>
          <w:rFonts w:hint="eastAsia" w:ascii="宋体" w:hAnsi="宋体" w:eastAsia="宋体" w:cs="宋体"/>
          <w:color w:val="auto"/>
          <w:kern w:val="2"/>
          <w:sz w:val="22"/>
          <w:szCs w:val="16"/>
          <w:highlight w:val="none"/>
          <w:lang w:val="en-US" w:eastAsia="zh-CN" w:bidi="ar-SA"/>
        </w:rPr>
      </w:pPr>
      <w:r>
        <w:rPr>
          <w:rFonts w:hint="eastAsia" w:ascii="宋体" w:hAnsi="宋体" w:eastAsia="宋体" w:cs="宋体"/>
          <w:color w:val="auto"/>
          <w:kern w:val="2"/>
          <w:sz w:val="22"/>
          <w:szCs w:val="16"/>
          <w:highlight w:val="none"/>
          <w:lang w:val="en-US" w:eastAsia="zh-CN" w:bidi="ar-SA"/>
        </w:rPr>
        <w:t>病历共享：支持对患者的病历资料信息实现共享调阅。可查询到患者近3个月内的就诊记录、病历信息、检查、检验报告。</w:t>
      </w:r>
    </w:p>
    <w:p w14:paraId="761D4803">
      <w:pPr>
        <w:pStyle w:val="13"/>
        <w:keepNext w:val="0"/>
        <w:keepLines w:val="0"/>
        <w:widowControl/>
        <w:suppressLineNumbers w:val="0"/>
        <w:rPr>
          <w:rFonts w:hint="eastAsia" w:ascii="宋体" w:hAnsi="宋体" w:eastAsia="宋体" w:cs="宋体"/>
          <w:color w:val="auto"/>
          <w:kern w:val="2"/>
          <w:sz w:val="22"/>
          <w:szCs w:val="16"/>
          <w:highlight w:val="none"/>
          <w:lang w:val="en-US" w:eastAsia="zh-CN" w:bidi="ar-SA"/>
        </w:rPr>
      </w:pPr>
      <w:r>
        <w:rPr>
          <w:rFonts w:hint="eastAsia" w:ascii="宋体" w:hAnsi="宋体" w:eastAsia="宋体" w:cs="宋体"/>
          <w:color w:val="auto"/>
          <w:kern w:val="2"/>
          <w:sz w:val="22"/>
          <w:szCs w:val="16"/>
          <w:highlight w:val="none"/>
          <w:lang w:val="en-US" w:eastAsia="zh-CN" w:bidi="ar-SA"/>
        </w:rPr>
        <w:t>诊疗建议：上级医院专家了解患者病情后，能够给出相应的诊疗方案建议。</w:t>
      </w:r>
    </w:p>
    <w:p w14:paraId="3A0D91EA">
      <w:pPr>
        <w:pStyle w:val="13"/>
        <w:keepNext w:val="0"/>
        <w:keepLines w:val="0"/>
        <w:widowControl/>
        <w:suppressLineNumbers w:val="0"/>
        <w:rPr>
          <w:rFonts w:hint="eastAsia" w:ascii="宋体" w:hAnsi="宋体" w:eastAsia="宋体" w:cs="宋体"/>
          <w:color w:val="auto"/>
          <w:sz w:val="22"/>
          <w:szCs w:val="16"/>
          <w:highlight w:val="none"/>
        </w:rPr>
      </w:pPr>
      <w:r>
        <w:rPr>
          <w:rFonts w:hint="eastAsia" w:ascii="宋体" w:hAnsi="宋体" w:eastAsia="宋体" w:cs="宋体"/>
          <w:color w:val="auto"/>
          <w:kern w:val="2"/>
          <w:sz w:val="22"/>
          <w:szCs w:val="16"/>
          <w:highlight w:val="none"/>
          <w:lang w:val="en-US" w:eastAsia="zh-CN" w:bidi="ar-SA"/>
        </w:rPr>
        <w:t>转诊服务：根据患者实际病况级上级医院专家意见，如需转诊的患者，可直接调用双向转诊服务，开启转诊申请流程。</w:t>
      </w:r>
    </w:p>
    <w:p w14:paraId="4FE821E8">
      <w:pPr>
        <w:pStyle w:val="6"/>
        <w:jc w:val="both"/>
        <w:rPr>
          <w:rFonts w:hint="eastAsia" w:ascii="宋体" w:hAnsi="宋体" w:eastAsia="宋体" w:cs="宋体"/>
          <w:sz w:val="24"/>
          <w:szCs w:val="22"/>
          <w:highlight w:val="none"/>
        </w:rPr>
      </w:pPr>
      <w:bookmarkStart w:id="28" w:name="_Toc21254"/>
      <w:bookmarkStart w:id="29" w:name="_Toc182836646"/>
      <w:bookmarkStart w:id="30" w:name="_Toc11148"/>
      <w:r>
        <w:rPr>
          <w:rFonts w:hint="eastAsia" w:ascii="宋体" w:hAnsi="宋体" w:eastAsia="宋体" w:cs="宋体"/>
          <w:sz w:val="24"/>
          <w:szCs w:val="22"/>
          <w:highlight w:val="none"/>
        </w:rPr>
        <w:t>慢病管理中心</w:t>
      </w:r>
      <w:bookmarkEnd w:id="28"/>
      <w:bookmarkEnd w:id="29"/>
    </w:p>
    <w:p w14:paraId="09B59094">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慢病管理中心需提供高血压管理中心、糖尿病管理中心、监管查询等三大模块，中心涉及了慢病人群管理、花名册管理、治疗方案、管理计划、处方点评、指标预警、慢病EHR调阅等主要功能。</w:t>
      </w:r>
    </w:p>
    <w:p w14:paraId="2531D05E">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高血压管理中心</w:t>
      </w:r>
    </w:p>
    <w:p w14:paraId="6A246B18">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需支持高血压病人人群管理、花名册管理、治疗方案、管理计划、处方点评、指标预警、慢病EHR调阅等主要功能。</w:t>
      </w:r>
    </w:p>
    <w:p w14:paraId="00C663B0">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待办事项、近一年慢病管理分标趋势、高血压在管人数、危急值预警、近一年慢病管理达标数/机构排名等数据的统计。支持待办事项（包含待审核的方案、待审核的计划、待点评的处方、待制定的方案、待制定的计划）、高血压患者在管人数、标记人数（绿标人数、黄标人数、红标人数）、危急值预警患者等的数据快捷跳转到相关页面。</w:t>
      </w:r>
    </w:p>
    <w:p w14:paraId="75C99775">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花名册：支持慢病患者健康档案查看、患者基本信息详情查看、支持患者分标管理等功能。</w:t>
      </w:r>
    </w:p>
    <w:p w14:paraId="02D2826B">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治疗方案：支持专科医生、家庭医生根据个人健康状况制定个性化慢病治疗方案，由家庭医生执行。</w:t>
      </w:r>
    </w:p>
    <w:p w14:paraId="034E37CC">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高血压管理计划：支持根据高血压患者的健康状况，制定管理计划。</w:t>
      </w:r>
    </w:p>
    <w:p w14:paraId="7D75E825">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高血压处方点评：支持上级专科医生对基层家庭医生开具的慢病处方进行点评，由中心医院慢病管理专科医生对基层机构医生用药过程中对临床处方进行综合统计分析，并对门诊处方进行点评。</w:t>
      </w:r>
    </w:p>
    <w:p w14:paraId="18C67097">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高血压年度报告：支持同步家庭医生系统生成的高血压年度健康管理报告，慢病管理中心专科医生可以对年度报告进行审核。</w:t>
      </w:r>
    </w:p>
    <w:p w14:paraId="52F729B1">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高血压危急值预警：支持高血压危急值预警与预警信息查看。</w:t>
      </w:r>
    </w:p>
    <w:p w14:paraId="41A15C98">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糖尿病管理中心</w:t>
      </w:r>
    </w:p>
    <w:p w14:paraId="33A5CDE3">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需支持糖尿病人人群管理、花名册管理、治疗方案、管理计划、处方点评、指标预警、慢病EHR调阅等主要功能。</w:t>
      </w:r>
    </w:p>
    <w:p w14:paraId="6D97D9A0">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待办事项、近一年慢病管理分标趋势、糖尿病在管人数、危急值预警、近一年慢病管理达标数/机构排名等数据的统计。支持待办事项（包含待审核的方案、待审核的计划、待点评的处方、待制定的方案、待制定的计划）、糖尿病患者在管人数、标记人数（绿标人数、黄标人数、红标人数）、危急值预警患者等的数据快捷跳转到相关页面。</w:t>
      </w:r>
    </w:p>
    <w:p w14:paraId="1ADA68B5">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花名册：支持慢病患者健康档案查看、患者基本信息详情查看、支持患者分标管理等功能。</w:t>
      </w:r>
    </w:p>
    <w:p w14:paraId="658A107D">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治疗方案：支持专科医生、家庭医生根据个人健康状况制定个性化慢病治疗方案，由家庭医生执行。</w:t>
      </w:r>
    </w:p>
    <w:p w14:paraId="0A186C68">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糖尿病管理计划：支持根据糖尿病患者的健康状况，制定管理计划。</w:t>
      </w:r>
    </w:p>
    <w:p w14:paraId="24D06968">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糖尿病处方点评：支持上级专科医生对基层家庭医生开具的慢病处方进行点评，由中心医院慢病管理专科医生对基层机构医生用药过程中对临床处方进行综合统计分析，并对门诊处方进行点评。</w:t>
      </w:r>
    </w:p>
    <w:p w14:paraId="7564469F">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糖尿病年度报告：支持同步家庭医生系统生成的糖尿病年度健康管理报告，慢病管理中心专科医生可以对年度报告进行审核。</w:t>
      </w:r>
    </w:p>
    <w:p w14:paraId="07646768">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糖尿病危急值预警：支持糖尿病危急值预警与预警信息查看。</w:t>
      </w:r>
    </w:p>
    <w:p w14:paraId="2BC0B41F">
      <w:pPr>
        <w:pStyle w:val="6"/>
        <w:jc w:val="both"/>
        <w:rPr>
          <w:rFonts w:hint="eastAsia" w:ascii="宋体" w:hAnsi="宋体" w:eastAsia="宋体" w:cs="宋体"/>
          <w:sz w:val="24"/>
          <w:szCs w:val="22"/>
          <w:highlight w:val="none"/>
        </w:rPr>
      </w:pPr>
      <w:bookmarkStart w:id="31" w:name="_Toc182836647"/>
      <w:r>
        <w:rPr>
          <w:rFonts w:hint="eastAsia" w:ascii="宋体" w:hAnsi="宋体" w:eastAsia="宋体" w:cs="宋体"/>
          <w:sz w:val="24"/>
          <w:szCs w:val="22"/>
          <w:highlight w:val="none"/>
        </w:rPr>
        <w:t>平台监管应用</w:t>
      </w:r>
      <w:bookmarkEnd w:id="30"/>
      <w:bookmarkEnd w:id="31"/>
    </w:p>
    <w:p w14:paraId="42F223A7">
      <w:pPr>
        <w:spacing w:before="36" w:after="36"/>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要求提供以下维度的监管查询，包括医疗质量、协同服务、医疗保障、药品管理、医疗资源与人力资源等情况进行监管。并且监管维度需支持自定义扩展，部分具有监管意义的重点指标应支持添加指标解释。具体要求内容如下：</w:t>
      </w:r>
    </w:p>
    <w:p w14:paraId="4C4606E4">
      <w:pPr>
        <w:numPr>
          <w:ilvl w:val="4"/>
          <w:numId w:val="0"/>
        </w:numPr>
        <w:spacing w:before="120" w:after="120"/>
        <w:jc w:val="both"/>
        <w:rPr>
          <w:rFonts w:hint="eastAsia" w:ascii="宋体" w:hAnsi="宋体" w:eastAsia="宋体" w:cs="宋体"/>
          <w:sz w:val="24"/>
          <w:szCs w:val="24"/>
          <w:highlight w:val="none"/>
        </w:rPr>
      </w:pPr>
      <w:bookmarkStart w:id="32" w:name="_Toc27319"/>
      <w:r>
        <w:rPr>
          <w:rFonts w:hint="eastAsia" w:ascii="宋体" w:hAnsi="宋体" w:eastAsia="宋体" w:cs="宋体"/>
          <w:sz w:val="24"/>
          <w:szCs w:val="24"/>
          <w:highlight w:val="none"/>
        </w:rPr>
        <w:t>首页</w:t>
      </w:r>
      <w:bookmarkEnd w:id="32"/>
    </w:p>
    <w:p w14:paraId="6C0D16B1">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综合查询首页展示了辖区建档分布图，重点指标情况（医疗机构诊疗情况、疾病顺位前五排名、药品使用前五排名、辖区档案情况、医疗机构医保结算情况、指标预警情况、医护人员总人数、社区卫生服务机构总数、累计建档量、门诊累计收入、住院累计收入等，以及其他的针对医共体内的一些重点指标的情况进行综合展示，支持分机构、日期范围、是否包含村站等维度进行查询。</w:t>
      </w:r>
    </w:p>
    <w:p w14:paraId="6C609494">
      <w:pPr>
        <w:numPr>
          <w:ilvl w:val="4"/>
          <w:numId w:val="0"/>
        </w:numPr>
        <w:spacing w:before="120" w:after="120"/>
        <w:jc w:val="both"/>
        <w:rPr>
          <w:rFonts w:hint="eastAsia" w:ascii="宋体" w:hAnsi="宋体" w:eastAsia="宋体" w:cs="宋体"/>
          <w:b/>
          <w:bCs/>
          <w:sz w:val="24"/>
          <w:szCs w:val="24"/>
          <w:highlight w:val="none"/>
        </w:rPr>
      </w:pPr>
      <w:bookmarkStart w:id="33" w:name="_Toc1646"/>
      <w:r>
        <w:rPr>
          <w:rFonts w:hint="eastAsia" w:ascii="宋体" w:hAnsi="宋体" w:eastAsia="宋体" w:cs="宋体"/>
          <w:b/>
          <w:bCs/>
          <w:sz w:val="24"/>
          <w:szCs w:val="24"/>
          <w:highlight w:val="none"/>
        </w:rPr>
        <w:t>医疗服务质量</w:t>
      </w:r>
      <w:bookmarkEnd w:id="33"/>
    </w:p>
    <w:p w14:paraId="0349B911">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主要对医共体各成员的服务质量相关的数据进行统计分析，以展示各机构医疗服务质量情况，包括：医疗服务质量、医疗服务效率、医疗服务利用、医疗服务费用、医疗服务行为等。</w:t>
      </w:r>
    </w:p>
    <w:p w14:paraId="305543CA">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医疗服务质量</w:t>
      </w:r>
    </w:p>
    <w:p w14:paraId="69F4A38E">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展示医共体内医疗服务质量情况，包括死亡统计、死亡列表、手术统计、手术列表、诊断质量分析、病案质量分析、合理用药分析、单病种质量控制、处方抽查、病历质量监管、感染分析、住院病例查询、病历。支持分机构、分区域、是否包含村站、日期范围、数据指标自定义分析、关键性指标下钻、患者姓名、身份证号、分死亡诊断、分手术等级、手术名称、分手术类型等多维度的查询。</w:t>
      </w:r>
    </w:p>
    <w:p w14:paraId="727C062D">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医疗服务效率</w:t>
      </w:r>
    </w:p>
    <w:p w14:paraId="1765B40C">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要求实现对各机构医疗服务效率进行统一监管，包括住院床位分析、医师负担分析。</w:t>
      </w:r>
    </w:p>
    <w:p w14:paraId="673AC403">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医疗服务利用</w:t>
      </w:r>
    </w:p>
    <w:p w14:paraId="7ECD50D1">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展示医共体内医疗服务工作情况，针对医共体的整体、机构、科室的就诊数据分析，包括门急诊人次统计、住院例次统计、疾病构成统计（门诊/住院）、病人基本信息查询、住院死亡疾病构成统计、手术人次统计。支持分机构、分区域、包含村站、日期范围、数据指标自定义分析、关键性指标下钻、分临床范围、病人姓名、病人识别号、病人性别、病人年龄等多维度的查询。</w:t>
      </w:r>
    </w:p>
    <w:p w14:paraId="1DF30060">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医疗服务费用</w:t>
      </w:r>
    </w:p>
    <w:p w14:paraId="2CFDABBA">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展示医共体内医疗服务的相关费用情况，包括业务收入汇总统计、医疗收入（不含药品）统计、药品收入统计、门（急）诊收入统计、住院收入统计、检验收入统计、检查收入统计、医生开单排名、收入明细查询、门诊均次费用统计、住院例次费用统计、病人单次医疗费用费用综合查询。支持分机构、分区域、包含村站、日期范围、数据指标自定义分析、关键性指标下钻、收费类别、分临床范围、患者姓名、身份证号、出院诊断、病案质量等多维度的查询。</w:t>
      </w:r>
    </w:p>
    <w:p w14:paraId="1D18CE28">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医疗服务行为</w:t>
      </w:r>
    </w:p>
    <w:p w14:paraId="48258CA7">
      <w:pPr>
        <w:spacing w:before="36" w:after="36"/>
        <w:rPr>
          <w:rFonts w:hint="eastAsia" w:ascii="宋体" w:hAnsi="宋体" w:eastAsia="宋体" w:cs="宋体"/>
          <w:sz w:val="22"/>
          <w:szCs w:val="16"/>
          <w:highlight w:val="none"/>
        </w:rPr>
      </w:pPr>
      <w:r>
        <w:rPr>
          <w:rFonts w:hint="eastAsia" w:ascii="宋体" w:hAnsi="宋体" w:eastAsia="宋体" w:cs="宋体"/>
          <w:sz w:val="21"/>
          <w:szCs w:val="21"/>
          <w:highlight w:val="none"/>
        </w:rPr>
        <w:t>▲</w:t>
      </w:r>
      <w:r>
        <w:rPr>
          <w:rFonts w:hint="eastAsia" w:ascii="宋体" w:hAnsi="宋体" w:eastAsia="宋体" w:cs="宋体"/>
          <w:sz w:val="22"/>
          <w:szCs w:val="16"/>
          <w:highlight w:val="none"/>
        </w:rPr>
        <w:t>要求展示医共体内医疗服务行为情况，包括医生医疗行为综合统计、处方明细查询、大处方统计、门诊抗生素使用统计、门诊输液处方统计、检查开单统计、检查开单明细统计、检验开单统计、检验开单明细查询。支持分机构、分区域、包含村站、数据指标自定义、关键性指标下钻、分抗生素等级、病人识别号、联合用药、药品名称、分临床范围、检查项目等多维度查询。</w:t>
      </w:r>
    </w:p>
    <w:p w14:paraId="16001E74">
      <w:pPr>
        <w:numPr>
          <w:ilvl w:val="4"/>
          <w:numId w:val="0"/>
        </w:numPr>
        <w:spacing w:before="120" w:after="120"/>
        <w:jc w:val="both"/>
        <w:rPr>
          <w:rFonts w:hint="eastAsia" w:ascii="宋体" w:hAnsi="宋体" w:eastAsia="宋体" w:cs="宋体"/>
          <w:b/>
          <w:bCs/>
          <w:sz w:val="24"/>
          <w:szCs w:val="24"/>
          <w:highlight w:val="none"/>
        </w:rPr>
      </w:pPr>
      <w:bookmarkStart w:id="34" w:name="_Toc21331"/>
      <w:r>
        <w:rPr>
          <w:rFonts w:hint="eastAsia" w:ascii="宋体" w:hAnsi="宋体" w:eastAsia="宋体" w:cs="宋体"/>
          <w:b/>
          <w:bCs/>
          <w:sz w:val="24"/>
          <w:szCs w:val="24"/>
          <w:highlight w:val="none"/>
        </w:rPr>
        <w:t>协同监管</w:t>
      </w:r>
      <w:bookmarkEnd w:id="34"/>
    </w:p>
    <w:p w14:paraId="53E8F5B7">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展示医共体协同业务开展情况，包括区域内各协同关注情况、影像中心、区域检验、区域心电、双向转诊、远程会诊、区域消毒供应、区域内各业务协同开展情况、区域内各机构协同开展情况、检验业务飞行图、检查业务飞行图、转诊业务飞行图、会诊业务飞行图、消毒业务飞行图、区域内各协同时效分析。支持分机构、包含村站、日期范围等维度查看。</w:t>
      </w:r>
    </w:p>
    <w:p w14:paraId="1358A538">
      <w:pPr>
        <w:ind w:firstLine="0" w:firstLineChars="0"/>
        <w:rPr>
          <w:rFonts w:hint="eastAsia" w:ascii="宋体" w:hAnsi="宋体" w:eastAsia="宋体" w:cs="宋体"/>
          <w:b/>
          <w:bCs/>
          <w:sz w:val="22"/>
          <w:szCs w:val="16"/>
          <w:highlight w:val="none"/>
        </w:rPr>
      </w:pPr>
      <w:r>
        <w:rPr>
          <w:rFonts w:hint="eastAsia" w:ascii="宋体" w:hAnsi="宋体" w:eastAsia="宋体" w:cs="宋体"/>
          <w:b/>
          <w:bCs/>
          <w:sz w:val="22"/>
          <w:szCs w:val="16"/>
          <w:highlight w:val="none"/>
        </w:rPr>
        <w:t>影像中心监管统计</w:t>
      </w:r>
    </w:p>
    <w:p w14:paraId="4C52BA84">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要求展示医共体区域影像业务开展情况，包括区域影像详情管理、检查申请明细查询、重点指标情况（远程申请总数/检查开单总数 、协助诊断总数/远程申请总数、远程申请总数、代理检查总数/远程申请总数、申请完成总数/远程申请总数 、远程申请、完成及时情况分析、摄片质量情况分析、报告阳性检出率、危急值报告率、各机构远程协助申请情况分析）。支持分机构、包含村站、时间范围等维度进行查询。</w:t>
      </w:r>
    </w:p>
    <w:p w14:paraId="6ADF6F81">
      <w:pPr>
        <w:ind w:firstLine="0" w:firstLineChars="0"/>
        <w:rPr>
          <w:rFonts w:hint="eastAsia" w:ascii="宋体" w:hAnsi="宋体" w:eastAsia="宋体" w:cs="宋体"/>
          <w:b/>
          <w:bCs/>
          <w:sz w:val="22"/>
          <w:szCs w:val="16"/>
          <w:highlight w:val="none"/>
        </w:rPr>
      </w:pPr>
      <w:r>
        <w:rPr>
          <w:rFonts w:hint="eastAsia" w:ascii="宋体" w:hAnsi="宋体" w:eastAsia="宋体" w:cs="宋体"/>
          <w:b/>
          <w:bCs/>
          <w:sz w:val="22"/>
          <w:szCs w:val="16"/>
          <w:highlight w:val="none"/>
        </w:rPr>
        <w:t>区域检验监管统计</w:t>
      </w:r>
    </w:p>
    <w:p w14:paraId="375BB3C4">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要求展示医共体区域检验业务开展情况，包括区域检验详情管理、重点指标情况（代理申请总量/检验开单总量、代理完成总量/代理申请总量  、阳性报告占比  、危急值报告占比 、各机构代理检验申请情况分析、代理检验申请项目排名（Top 5）、代理申请、完成及时情况分析、报告阳性指标排名（Top 5））。支持分机构、包含村站、时间范围等维度进行查询。</w:t>
      </w:r>
    </w:p>
    <w:p w14:paraId="0AF94BDB">
      <w:pPr>
        <w:ind w:firstLine="0" w:firstLineChars="0"/>
        <w:rPr>
          <w:rFonts w:hint="eastAsia" w:ascii="宋体" w:hAnsi="宋体" w:eastAsia="宋体" w:cs="宋体"/>
          <w:b/>
          <w:bCs/>
          <w:sz w:val="22"/>
          <w:szCs w:val="16"/>
          <w:highlight w:val="none"/>
        </w:rPr>
      </w:pPr>
      <w:r>
        <w:rPr>
          <w:rFonts w:hint="eastAsia" w:ascii="宋体" w:hAnsi="宋体" w:eastAsia="宋体" w:cs="宋体"/>
          <w:b/>
          <w:bCs/>
          <w:sz w:val="22"/>
          <w:szCs w:val="16"/>
          <w:highlight w:val="none"/>
        </w:rPr>
        <w:t>区域心电监管统计</w:t>
      </w:r>
    </w:p>
    <w:p w14:paraId="10D2D688">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要求展示医共体区域心电业务开展情况，包括区域心电详情管理、心电申请明细查询、重点指标情况（远程申请总量/心电检查总量 、协助诊断总量/远程申请总量、协助审核总量/远程申请总量、申请完成总量/远程申请总量、危急值报告/申请完成总量、心电类型分布、危急值报告占比、远程申请、完成及时情况分析、各机构远程协助申请情况分析）。支持分机构、包含村站、日期范围等维度查询。</w:t>
      </w:r>
    </w:p>
    <w:p w14:paraId="4378D327">
      <w:pPr>
        <w:ind w:firstLine="0" w:firstLineChars="0"/>
        <w:rPr>
          <w:rFonts w:hint="eastAsia" w:ascii="宋体" w:hAnsi="宋体" w:eastAsia="宋体" w:cs="宋体"/>
          <w:b/>
          <w:bCs/>
          <w:sz w:val="22"/>
          <w:szCs w:val="16"/>
          <w:highlight w:val="none"/>
        </w:rPr>
      </w:pPr>
      <w:r>
        <w:rPr>
          <w:rFonts w:hint="eastAsia" w:ascii="宋体" w:hAnsi="宋体" w:eastAsia="宋体" w:cs="宋体"/>
          <w:b/>
          <w:bCs/>
          <w:sz w:val="22"/>
          <w:szCs w:val="16"/>
          <w:highlight w:val="none"/>
        </w:rPr>
        <w:t>双向转诊监管统计</w:t>
      </w:r>
    </w:p>
    <w:p w14:paraId="32C6ED84">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 xml:space="preserve"> 要求展示医共体双向转诊开展情况，包括双向转诊详情管理、双向转诊明细查询、重点指标情况（双向转诊总体情况、转诊后疾病排名（Top 5）、区域内各机构转诊情况分析、转诊申请、完成及时情况分析）。支持分机构、包含村站、日期范围等维度查询。</w:t>
      </w:r>
    </w:p>
    <w:p w14:paraId="09B80B1B">
      <w:pPr>
        <w:ind w:firstLine="0" w:firstLineChars="0"/>
        <w:rPr>
          <w:rFonts w:hint="eastAsia" w:ascii="宋体" w:hAnsi="宋体" w:eastAsia="宋体" w:cs="宋体"/>
          <w:b/>
          <w:bCs/>
          <w:sz w:val="22"/>
          <w:szCs w:val="16"/>
          <w:highlight w:val="none"/>
        </w:rPr>
      </w:pPr>
      <w:r>
        <w:rPr>
          <w:rFonts w:hint="eastAsia" w:ascii="宋体" w:hAnsi="宋体" w:eastAsia="宋体" w:cs="宋体"/>
          <w:b/>
          <w:bCs/>
          <w:sz w:val="22"/>
          <w:szCs w:val="16"/>
          <w:highlight w:val="none"/>
        </w:rPr>
        <w:t>远程会诊监管统计</w:t>
      </w:r>
    </w:p>
    <w:p w14:paraId="117E2A0E">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要求展示医共体远程会诊开展情况，包括会诊情况一览、远程会诊明细查询、区域内机构会诊情况分析、专家会诊参与情况(Top 10)、会诊申请诊断排名（Top 5）、远程会诊详情管理。支持分机构、包含村站、日期范围等多维度组合查询。</w:t>
      </w:r>
    </w:p>
    <w:p w14:paraId="5F3D262C">
      <w:pPr>
        <w:ind w:firstLine="0" w:firstLineChars="0"/>
        <w:rPr>
          <w:rFonts w:hint="eastAsia" w:ascii="宋体" w:hAnsi="宋体" w:eastAsia="宋体" w:cs="宋体"/>
          <w:b/>
          <w:bCs/>
          <w:sz w:val="22"/>
          <w:szCs w:val="16"/>
          <w:highlight w:val="none"/>
        </w:rPr>
      </w:pPr>
      <w:r>
        <w:rPr>
          <w:rFonts w:hint="eastAsia" w:ascii="宋体" w:hAnsi="宋体" w:eastAsia="宋体" w:cs="宋体"/>
          <w:b/>
          <w:bCs/>
          <w:sz w:val="22"/>
          <w:szCs w:val="16"/>
          <w:highlight w:val="none"/>
        </w:rPr>
        <w:t>远程超声情况统计</w:t>
      </w:r>
    </w:p>
    <w:p w14:paraId="5B445E3A">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要求展示医共体远程超声业务开展情况，包括远程超声的发起数量、指导情况分析、相关诊断排名等。支持分机构、时间范围等维度进行查询。</w:t>
      </w:r>
    </w:p>
    <w:p w14:paraId="7626ACE0">
      <w:pPr>
        <w:spacing w:before="36" w:after="36"/>
        <w:ind w:firstLine="0" w:firstLineChars="0"/>
        <w:rPr>
          <w:rFonts w:hint="eastAsia" w:ascii="宋体" w:hAnsi="宋体" w:eastAsia="宋体" w:cs="宋体"/>
          <w:b/>
          <w:bCs/>
          <w:sz w:val="22"/>
          <w:szCs w:val="16"/>
          <w:highlight w:val="none"/>
        </w:rPr>
      </w:pPr>
      <w:r>
        <w:rPr>
          <w:rFonts w:hint="eastAsia" w:ascii="宋体" w:hAnsi="宋体" w:eastAsia="宋体" w:cs="宋体"/>
          <w:b/>
          <w:bCs/>
          <w:sz w:val="22"/>
          <w:szCs w:val="16"/>
          <w:highlight w:val="none"/>
        </w:rPr>
        <w:t>集中审方监管统计</w:t>
      </w:r>
    </w:p>
    <w:p w14:paraId="3C7A6431">
      <w:pPr>
        <w:spacing w:before="36" w:after="36"/>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要求能够展示各医疗机构的审方情况，包括审方数量、通过数量、不合格数量、干预数量、占比情况分析、机构排名、医生排名等，支持多维度组合查询。</w:t>
      </w:r>
    </w:p>
    <w:p w14:paraId="330C3B19">
      <w:pPr>
        <w:numPr>
          <w:ilvl w:val="4"/>
          <w:numId w:val="0"/>
        </w:numPr>
        <w:spacing w:before="120" w:after="120"/>
        <w:jc w:val="both"/>
        <w:rPr>
          <w:rFonts w:hint="eastAsia" w:ascii="宋体" w:hAnsi="宋体" w:eastAsia="宋体" w:cs="宋体"/>
          <w:b/>
          <w:bCs/>
          <w:sz w:val="24"/>
          <w:szCs w:val="24"/>
          <w:highlight w:val="none"/>
        </w:rPr>
      </w:pPr>
      <w:bookmarkStart w:id="35" w:name="_Toc18805"/>
      <w:r>
        <w:rPr>
          <w:rFonts w:hint="eastAsia" w:ascii="宋体" w:hAnsi="宋体" w:eastAsia="宋体" w:cs="宋体"/>
          <w:b/>
          <w:bCs/>
          <w:sz w:val="24"/>
          <w:szCs w:val="24"/>
          <w:highlight w:val="none"/>
        </w:rPr>
        <w:t>医疗保障</w:t>
      </w:r>
      <w:bookmarkEnd w:id="35"/>
    </w:p>
    <w:p w14:paraId="33002F51">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支持针对辖区内医疗保障情况进行统一监管，包括医保人次统计、医保费用分析、医保基金情况分析、医保报销比例分析、医疗机构医保基金占比分析、医保患者就诊比例分析等。</w:t>
      </w:r>
    </w:p>
    <w:p w14:paraId="6607EB69">
      <w:pPr>
        <w:numPr>
          <w:ilvl w:val="4"/>
          <w:numId w:val="0"/>
        </w:numPr>
        <w:spacing w:before="120" w:after="120"/>
        <w:jc w:val="both"/>
        <w:rPr>
          <w:rFonts w:hint="eastAsia" w:ascii="宋体" w:hAnsi="宋体" w:eastAsia="宋体" w:cs="宋体"/>
          <w:b/>
          <w:bCs/>
          <w:sz w:val="24"/>
          <w:szCs w:val="24"/>
          <w:highlight w:val="none"/>
        </w:rPr>
      </w:pPr>
      <w:bookmarkStart w:id="36" w:name="_Toc22991"/>
      <w:r>
        <w:rPr>
          <w:rFonts w:hint="eastAsia" w:ascii="宋体" w:hAnsi="宋体" w:eastAsia="宋体" w:cs="宋体"/>
          <w:b/>
          <w:bCs/>
          <w:sz w:val="24"/>
          <w:szCs w:val="24"/>
          <w:highlight w:val="none"/>
        </w:rPr>
        <w:t>药品管理</w:t>
      </w:r>
      <w:bookmarkEnd w:id="36"/>
    </w:p>
    <w:p w14:paraId="7C9D6523">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支持针对辖区内药品管理情况进行统一监管，包括采购分析统计、药品采购排名、药品库存占比分析统计、药品库存明细查询、药品使用品种统计、药品使用金额统计、药品使用排名。</w:t>
      </w:r>
    </w:p>
    <w:p w14:paraId="3AB0F361">
      <w:pPr>
        <w:spacing w:before="120" w:after="120"/>
        <w:ind w:left="0" w:leftChars="0" w:firstLine="0" w:firstLineChars="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公共卫生</w:t>
      </w:r>
    </w:p>
    <w:p w14:paraId="7A0999F8">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针对辖区内国家基本公共卫生服务项目开展情况进行统一监管，包括城乡居民健康档案管理、慢病管理、儿童保健管理、孕产妇保健管理、妇女保健管理、家庭医生签约服务进展情况统计、中医药健康管理统计。</w:t>
      </w:r>
    </w:p>
    <w:p w14:paraId="254446D4">
      <w:pPr>
        <w:ind w:firstLine="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具体要求内容如下：</w:t>
      </w:r>
    </w:p>
    <w:p w14:paraId="4B09741C">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城乡居民健康档案管理</w:t>
      </w:r>
    </w:p>
    <w:p w14:paraId="141C4F2D">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要求展示辖区内居民健康档案管理情况，包括首页、老年人健康管理统计、居民建档情况明细查询、居民健康体检内容查询。</w:t>
      </w:r>
    </w:p>
    <w:p w14:paraId="430E4628">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慢病管理</w:t>
      </w:r>
    </w:p>
    <w:p w14:paraId="353E079B">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展示辖区内慢病管理情况，包括高血压患者健康管理统计、高血压随访明细查询、Ⅱ型糖尿病患者健康管理统计、Ⅱ型糖尿病随访明细查询、脑卒中情况统计分析、恶性肿瘤情况统计分析、冠心病情况统计分析、慢阻肺患者情况统计分析。</w:t>
      </w:r>
    </w:p>
    <w:p w14:paraId="6DCDD2A0">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提供高血压患者健康管理统计的图例，图例内容包括：查看年度已管理的高血压患者人数、年度规范管理的高血压患者人数、年度高血压规范管理率、高血压随访人次数、高血压体检人次数等重点监管指标和高血压患者健康情况统计明细（明细内容包括辖区各区域或各机构的已管理的高血压患者人数(人)、按照规范要求进行高血压患者健康管理的人数(人)、高血压患者规范管理率(%)、最近一次随访血压达标人数(人)、管理人群血压控制率(%)、既往史人数、专案人数、新增专案人数、随访人次、体检人次等内容），支持按照行政区划、机构、日期范围等条件进行查询。</w:t>
      </w:r>
    </w:p>
    <w:p w14:paraId="0513AE35">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同时支持点击专案人数列、新增专案人数列、随访人次列、体检人次列可以下钻至查看明细，比如点击随访人次，可以下钻至查看区域或机构的医生对高血压患者的随访明细内容，包括高血压患者个人信息、随访医生、随访编号、随访日期、随访方式、患者舒张压、收缩压、空腹血糖、心率、日吸烟量、日饮酒量、运动频率、心理调整、服药依从性、药物不良反应、转诊原因、转入机构名称、下次随访日期。支持按照行政区划、机构、日期范围、身份证号等条件进行查询。</w:t>
      </w:r>
    </w:p>
    <w:p w14:paraId="1BDBEE9A">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再次点击随访编号可以下钻查看高血压患者该次随访单的详细内容（通过结构化的方式展示）。</w:t>
      </w:r>
    </w:p>
    <w:p w14:paraId="70F9246C">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儿童保健</w:t>
      </w:r>
    </w:p>
    <w:p w14:paraId="717BD08D">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要求展示辖区内儿童保健服务开展情况，包括出生医学证明管理、儿童保健管理、出生医学证明入出明细查询、出生医学证明使用明细查询、儿童保健管理明细查询、儿童保健服务明细查询。</w:t>
      </w:r>
    </w:p>
    <w:p w14:paraId="1C5E0397">
      <w:pPr>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孕产妇保健</w:t>
      </w:r>
    </w:p>
    <w:p w14:paraId="7411E171">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要求展示辖区内孕产妇保健服务开展情况，包括产前保健、产时保健、产后保健、高危管理、保健管理明细查询、保健服务明细查询、高危管理明细查询。</w:t>
      </w:r>
    </w:p>
    <w:p w14:paraId="6FE98FB5">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妇女保健</w:t>
      </w:r>
    </w:p>
    <w:p w14:paraId="10612688">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要求展示辖区内妇女保健服务开展情况，包括婚前医学检查、孕前优生健康检查、两癌筛查、婚前医学检查明细查询、孕前优生健康检查明细查询、宫颈癌筛查明细查询、乳腺癌筛查明细查询。</w:t>
      </w:r>
    </w:p>
    <w:p w14:paraId="7E5B9C9F">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严重精神障碍患者统计</w:t>
      </w:r>
    </w:p>
    <w:p w14:paraId="16A2CD3D">
      <w:pPr>
        <w:spacing w:before="36" w:after="36"/>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要求展示辖区内严重精神障碍患者的相关服务开展情况，包括相关管理人数、随访评估情况、危险性评估分级、健康体检情况等相关统计查询。</w:t>
      </w:r>
    </w:p>
    <w:p w14:paraId="150B7119">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健康教育统计</w:t>
      </w:r>
    </w:p>
    <w:p w14:paraId="7AF91094">
      <w:pPr>
        <w:spacing w:before="36" w:after="36"/>
        <w:ind w:firstLine="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要求展示辖区内健康教育开展情况统计，包括发放印刷资料情况、播放音像资料情况、健康教育宣传栏、公众健康咨询活动、健康知识讲座、个体化健康教育等相关统计查询。</w:t>
      </w:r>
    </w:p>
    <w:p w14:paraId="04760877">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家庭医生签约服务进展情况统计</w:t>
      </w:r>
    </w:p>
    <w:p w14:paraId="572A08FF">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要求展示辖区内家医签约服务进展情况，包括签约的相关指标情况及签约情况明细内容。</w:t>
      </w:r>
    </w:p>
    <w:p w14:paraId="2E5D96AF">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传染病统计分析</w:t>
      </w:r>
    </w:p>
    <w:p w14:paraId="087251EB">
      <w:pPr>
        <w:ind w:firstLine="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要求展示辖区内传染病发生时间、传染源情况、发病人数、死亡人数、患病率、传染病种类、传染病等级相关统计查询。</w:t>
      </w:r>
    </w:p>
    <w:p w14:paraId="65373D51">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中医药健康管理统计</w:t>
      </w:r>
    </w:p>
    <w:p w14:paraId="3561FDC5">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要求展示辖区内中医药健康管理服务开展情况，包括中医药健康管理的相关指标情况及健康管理明细内容。</w:t>
      </w:r>
    </w:p>
    <w:p w14:paraId="2FBC2701">
      <w:pPr>
        <w:numPr>
          <w:ilvl w:val="4"/>
          <w:numId w:val="0"/>
        </w:numPr>
        <w:spacing w:before="120" w:after="120"/>
        <w:jc w:val="both"/>
        <w:rPr>
          <w:rFonts w:hint="eastAsia" w:ascii="宋体" w:hAnsi="宋体" w:eastAsia="宋体" w:cs="宋体"/>
          <w:b/>
          <w:bCs/>
          <w:sz w:val="24"/>
          <w:szCs w:val="24"/>
          <w:highlight w:val="none"/>
        </w:rPr>
      </w:pPr>
      <w:bookmarkStart w:id="37" w:name="_Toc29942"/>
      <w:r>
        <w:rPr>
          <w:rFonts w:hint="eastAsia" w:ascii="宋体" w:hAnsi="宋体" w:eastAsia="宋体" w:cs="宋体"/>
          <w:b/>
          <w:bCs/>
          <w:sz w:val="24"/>
          <w:szCs w:val="24"/>
          <w:highlight w:val="none"/>
        </w:rPr>
        <w:t>综合管理</w:t>
      </w:r>
      <w:bookmarkEnd w:id="37"/>
    </w:p>
    <w:p w14:paraId="6830EBB5">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支持针对辖区内医疗资源及医疗人力资源进行统一监管，包括医疗资源分布和医疗人力资源。</w:t>
      </w:r>
    </w:p>
    <w:p w14:paraId="7FE0A1E7">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医疗资源分布</w:t>
      </w:r>
    </w:p>
    <w:p w14:paraId="259D0453">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要求展示辖区内医疗资源分布情况，包括医疗机构分布、医疗机构设备统计、医疗机构设备明细、床位资源统计。</w:t>
      </w:r>
    </w:p>
    <w:p w14:paraId="2EDD2F75">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医疗人力资源</w:t>
      </w:r>
    </w:p>
    <w:p w14:paraId="106D0487">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要求展示辖区内医疗人力资源情况，包括医护人员占比统计、医护人员明细查询。</w:t>
      </w:r>
    </w:p>
    <w:p w14:paraId="11C5C4CE">
      <w:pPr>
        <w:pStyle w:val="6"/>
        <w:numPr>
          <w:ilvl w:val="4"/>
          <w:numId w:val="0"/>
        </w:numPr>
        <w:spacing w:before="120" w:after="120"/>
        <w:jc w:val="both"/>
        <w:rPr>
          <w:rFonts w:hint="eastAsia" w:ascii="宋体" w:hAnsi="宋体" w:eastAsia="宋体" w:cs="宋体"/>
          <w:sz w:val="24"/>
          <w:szCs w:val="24"/>
          <w:highlight w:val="none"/>
        </w:rPr>
      </w:pPr>
      <w:bookmarkStart w:id="38" w:name="_Toc4497"/>
      <w:bookmarkStart w:id="39" w:name="_Toc29887154"/>
      <w:r>
        <w:rPr>
          <w:rFonts w:hint="eastAsia" w:ascii="宋体" w:hAnsi="宋体" w:eastAsia="宋体" w:cs="宋体"/>
          <w:sz w:val="24"/>
          <w:szCs w:val="24"/>
          <w:highlight w:val="none"/>
        </w:rPr>
        <w:t>智能监管大屏</w:t>
      </w:r>
      <w:bookmarkEnd w:id="38"/>
    </w:p>
    <w:p w14:paraId="0C03F68A">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要求提供多种维度的母版大屏，包括医疗大屏、公卫大屏、资源大屏等。</w:t>
      </w:r>
    </w:p>
    <w:p w14:paraId="6E9F1844">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自定义大屏工具：平台提供自定义大屏工具，大屏展示内容可根据监管重点定制化设置，支持自定义个性化指标设置，用户可根据需要可设置实时监控内容。</w:t>
      </w:r>
    </w:p>
    <w:p w14:paraId="3D86EB28">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医疗监管大屏</w:t>
      </w:r>
    </w:p>
    <w:p w14:paraId="29824053">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提供医疗监管大屏的图例，大屏内的监管指标包括辖区医疗机构就诊分布图、门急诊人次统计、医保人次统计、疾病诊断排名（top5）、累计就诊人次、基药品种占比、基药金额占比、医保人次占比、抗生素占比、中药处方占比、手术人次数、总处方数量、抗生素处方数量、中药处方数、累计出入院人次、住院手术人次、中药处方统计等指标情况。</w:t>
      </w:r>
    </w:p>
    <w:p w14:paraId="49AB03D5">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公卫情况监管大屏</w:t>
      </w:r>
    </w:p>
    <w:p w14:paraId="71E5D627">
      <w:pPr>
        <w:spacing w:before="36" w:after="36"/>
        <w:ind w:firstLine="0" w:firstLineChars="0"/>
        <w:rPr>
          <w:rFonts w:hint="eastAsia" w:ascii="宋体" w:hAnsi="宋体" w:eastAsia="宋体" w:cs="宋体"/>
          <w:sz w:val="22"/>
          <w:szCs w:val="16"/>
          <w:highlight w:val="none"/>
        </w:rPr>
      </w:pPr>
      <w:r>
        <w:rPr>
          <w:rFonts w:hint="eastAsia" w:ascii="宋体" w:hAnsi="宋体" w:eastAsia="宋体" w:cs="宋体"/>
          <w:b/>
          <w:bCs/>
          <w:sz w:val="22"/>
          <w:szCs w:val="16"/>
          <w:highlight w:val="none"/>
        </w:rPr>
        <w:tab/>
      </w:r>
      <w:r>
        <w:rPr>
          <w:rFonts w:hint="eastAsia" w:ascii="宋体" w:hAnsi="宋体" w:eastAsia="宋体" w:cs="宋体"/>
          <w:sz w:val="22"/>
          <w:szCs w:val="16"/>
          <w:highlight w:val="none"/>
        </w:rPr>
        <w:t>要求展示辖区内公共卫生工作开展情况。包括健康人数、建档率、体检数量、慢病管理人数、随访人数、老年人管理人数、妇女人数、产前随访情况、产后访视情况、儿童人数、儿童健康管理服务情况等。要求能够通过辖区地图方式展示相关数据。</w:t>
      </w:r>
    </w:p>
    <w:p w14:paraId="631DEBCB">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协同应用大屏</w:t>
      </w:r>
    </w:p>
    <w:p w14:paraId="78BA52C4">
      <w:pPr>
        <w:spacing w:before="36" w:after="36"/>
        <w:ind w:firstLine="0" w:firstLineChars="0"/>
        <w:rPr>
          <w:rFonts w:hint="eastAsia" w:ascii="宋体" w:hAnsi="宋体" w:eastAsia="宋体" w:cs="宋体"/>
          <w:sz w:val="22"/>
          <w:szCs w:val="16"/>
          <w:highlight w:val="none"/>
        </w:rPr>
      </w:pPr>
      <w:r>
        <w:rPr>
          <w:rFonts w:hint="eastAsia" w:ascii="宋体" w:hAnsi="宋体" w:eastAsia="宋体" w:cs="宋体"/>
          <w:b/>
          <w:bCs/>
          <w:sz w:val="22"/>
          <w:szCs w:val="16"/>
          <w:highlight w:val="none"/>
        </w:rPr>
        <w:tab/>
      </w:r>
      <w:r>
        <w:rPr>
          <w:rFonts w:hint="eastAsia" w:ascii="宋体" w:hAnsi="宋体" w:eastAsia="宋体" w:cs="宋体"/>
          <w:sz w:val="22"/>
          <w:szCs w:val="16"/>
          <w:highlight w:val="none"/>
        </w:rPr>
        <w:t>针对辖区内医疗机构开展的相关协同业务情况进行展示。包括影像协同情况、检验协同情况、心电协同情况、远程超声协同情况、远程会诊协同情况、双向转诊协同情况等。要求具备飞行图方式来展示业务协同关系。</w:t>
      </w:r>
    </w:p>
    <w:p w14:paraId="081E60A0">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资源监管大屏</w:t>
      </w:r>
    </w:p>
    <w:p w14:paraId="5E3B25F1">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要求提供资源监管大屏的图例，大屏内的监管指标包括接入机构数量、累计居民信息、今日数据采集情况分析飞行图、今日汇聚数据次数、今日集中情况（饼状图）、近30天停传TOP5机构、平台用户及访问情况（曲线图）、平台协同服务使用情况（柱状图）、今日档案调阅TOP5机构等指标情况。</w:t>
      </w:r>
    </w:p>
    <w:p w14:paraId="5F625E02">
      <w:pPr>
        <w:pStyle w:val="6"/>
        <w:numPr>
          <w:ilvl w:val="4"/>
          <w:numId w:val="0"/>
        </w:numPr>
        <w:spacing w:before="120" w:after="120"/>
        <w:jc w:val="both"/>
        <w:rPr>
          <w:rFonts w:hint="eastAsia" w:ascii="宋体" w:hAnsi="宋体" w:eastAsia="宋体" w:cs="宋体"/>
          <w:sz w:val="24"/>
          <w:szCs w:val="24"/>
          <w:highlight w:val="none"/>
        </w:rPr>
      </w:pPr>
      <w:bookmarkStart w:id="40" w:name="_Toc14717"/>
      <w:r>
        <w:rPr>
          <w:rFonts w:hint="eastAsia" w:ascii="宋体" w:hAnsi="宋体" w:eastAsia="宋体" w:cs="宋体"/>
          <w:sz w:val="24"/>
          <w:szCs w:val="24"/>
          <w:highlight w:val="none"/>
        </w:rPr>
        <w:t>移动监管</w:t>
      </w:r>
      <w:bookmarkEnd w:id="40"/>
    </w:p>
    <w:bookmarkEnd w:id="39"/>
    <w:p w14:paraId="42D7593E">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医疗服务</w:t>
      </w:r>
    </w:p>
    <w:p w14:paraId="0107A436">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通过移动端查看辖区医疗服务情况，包括总收入统计、门诊收入、门诊医疗收入（不含药品）、门诊药品收入、住院收入、住院医疗收入（不含药品）、住院药品收入、日收入占比情况、收入情况对比、收入分析柱状图、门诊收入药占比环状图、病状周转次数、平均住院日、床位使用率、死亡人数、手术质量、诊断质量、病案质量。</w:t>
      </w:r>
    </w:p>
    <w:p w14:paraId="42042BF7">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公卫服务</w:t>
      </w:r>
    </w:p>
    <w:p w14:paraId="5313300B">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通过移动端查看辖区公卫服务情况，包括新增档案人数、更新档案数、新增高血压专案人数、高血压随访人数、高血压体检人次、糖尿病新增专案人数、糖尿病随访人次、糖尿病体检人次、慢病服务情况分析柱状图。</w:t>
      </w:r>
    </w:p>
    <w:p w14:paraId="45A58113">
      <w:pPr>
        <w:ind w:firstLine="0" w:firstLineChars="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协同服务</w:t>
      </w:r>
    </w:p>
    <w:p w14:paraId="13F0A686">
      <w:pPr>
        <w:ind w:firstLine="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ab/>
      </w:r>
      <w:r>
        <w:rPr>
          <w:rFonts w:hint="eastAsia" w:ascii="宋体" w:hAnsi="宋体" w:eastAsia="宋体" w:cs="宋体"/>
          <w:sz w:val="22"/>
          <w:szCs w:val="16"/>
          <w:highlight w:val="none"/>
        </w:rPr>
        <w:t>要求通过移动端查看辖区协同业务开展情况，包括远程会诊开展数量、影像协同数量、检验协同数量、心电协同数量、远程超声协同数量、双向转诊人数等。</w:t>
      </w:r>
    </w:p>
    <w:p w14:paraId="1613E15D">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指标配置</w:t>
      </w:r>
    </w:p>
    <w:p w14:paraId="6B103792">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要求可以通过后台设置监管的指标组以及指标组下具体的监管指标。</w:t>
      </w:r>
    </w:p>
    <w:p w14:paraId="7798A9F4">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指标授权</w:t>
      </w:r>
    </w:p>
    <w:p w14:paraId="388AFC54">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要求可以通过后台设置监管角色，授权其对应的监管指标。</w:t>
      </w:r>
    </w:p>
    <w:p w14:paraId="734A68C8">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指标预警</w:t>
      </w:r>
    </w:p>
    <w:p w14:paraId="49373D30">
      <w:pPr>
        <w:ind w:firstLine="400"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要求可以通过后台设置需要预警的指标，支持当指标变化达到某一阈值时通过邮件的方式推送给监管人员，便于监管人员及时的做出行政预案。</w:t>
      </w:r>
    </w:p>
    <w:p w14:paraId="493CC4CA">
      <w:pPr>
        <w:tabs>
          <w:tab w:val="left" w:pos="0"/>
        </w:tabs>
        <w:spacing w:before="156" w:beforeLines="50"/>
        <w:ind w:firstLine="0" w:firstLineChars="0"/>
        <w:outlineLvl w:val="2"/>
        <w:rPr>
          <w:rFonts w:hint="eastAsia" w:ascii="宋体" w:hAnsi="宋体" w:eastAsia="宋体" w:cs="宋体"/>
          <w:b/>
          <w:sz w:val="24"/>
          <w:szCs w:val="18"/>
          <w:highlight w:val="none"/>
        </w:rPr>
      </w:pPr>
      <w:bookmarkStart w:id="41" w:name="_Toc182836648"/>
      <w:r>
        <w:rPr>
          <w:rFonts w:hint="eastAsia" w:ascii="宋体" w:hAnsi="宋体" w:eastAsia="宋体" w:cs="宋体"/>
          <w:b/>
          <w:sz w:val="24"/>
          <w:szCs w:val="18"/>
          <w:highlight w:val="none"/>
        </w:rPr>
        <w:t>基层提质升级工程</w:t>
      </w:r>
      <w:bookmarkEnd w:id="41"/>
    </w:p>
    <w:p w14:paraId="772D2ADB">
      <w:pPr>
        <w:pStyle w:val="6"/>
        <w:jc w:val="both"/>
        <w:rPr>
          <w:rFonts w:hint="eastAsia" w:ascii="宋体" w:hAnsi="宋体" w:eastAsia="宋体" w:cs="宋体"/>
          <w:sz w:val="24"/>
          <w:szCs w:val="22"/>
          <w:highlight w:val="none"/>
        </w:rPr>
      </w:pPr>
      <w:bookmarkStart w:id="42" w:name="_Toc182836649"/>
      <w:r>
        <w:rPr>
          <w:rFonts w:hint="eastAsia" w:ascii="宋体" w:hAnsi="宋体" w:eastAsia="宋体" w:cs="宋体"/>
          <w:sz w:val="24"/>
          <w:szCs w:val="22"/>
          <w:highlight w:val="none"/>
        </w:rPr>
        <w:t>基层医疗机构服务系统</w:t>
      </w:r>
      <w:bookmarkEnd w:id="42"/>
    </w:p>
    <w:p w14:paraId="49C1B4C7">
      <w:pPr>
        <w:numPr>
          <w:ilvl w:val="4"/>
          <w:numId w:val="0"/>
        </w:numPr>
        <w:spacing w:before="120" w:after="120"/>
        <w:jc w:val="both"/>
        <w:rPr>
          <w:rFonts w:hint="eastAsia" w:ascii="宋体" w:hAnsi="宋体" w:eastAsia="宋体" w:cs="宋体"/>
          <w:sz w:val="24"/>
          <w:szCs w:val="24"/>
          <w:highlight w:val="none"/>
        </w:rPr>
      </w:pPr>
      <w:bookmarkStart w:id="43" w:name="_Toc20391"/>
      <w:r>
        <w:rPr>
          <w:rFonts w:hint="eastAsia" w:ascii="宋体" w:hAnsi="宋体" w:eastAsia="宋体" w:cs="宋体"/>
          <w:sz w:val="24"/>
          <w:szCs w:val="24"/>
          <w:highlight w:val="none"/>
        </w:rPr>
        <w:t>门急诊业务</w:t>
      </w:r>
      <w:bookmarkEnd w:id="43"/>
    </w:p>
    <w:p w14:paraId="2BD08845">
      <w:pPr>
        <w:spacing w:before="36" w:after="36"/>
        <w:ind w:firstLine="0" w:firstLineChars="0"/>
        <w:rPr>
          <w:rFonts w:hint="eastAsia" w:ascii="宋体" w:hAnsi="宋体" w:eastAsia="宋体" w:cs="宋体"/>
          <w:b/>
          <w:bCs/>
          <w:sz w:val="24"/>
          <w:szCs w:val="24"/>
          <w:highlight w:val="none"/>
        </w:rPr>
      </w:pPr>
      <w:bookmarkStart w:id="44" w:name="_Toc48142712"/>
      <w:r>
        <w:rPr>
          <w:rFonts w:hint="eastAsia" w:ascii="宋体" w:hAnsi="宋体" w:eastAsia="宋体" w:cs="宋体"/>
          <w:b/>
          <w:bCs/>
          <w:sz w:val="24"/>
          <w:szCs w:val="24"/>
          <w:highlight w:val="none"/>
        </w:rPr>
        <w:t>门急诊挂号管理</w:t>
      </w:r>
      <w:bookmarkEnd w:id="44"/>
      <w:bookmarkStart w:id="45" w:name="_Hlk39155987"/>
    </w:p>
    <w:p w14:paraId="4FA5561F">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门诊排班</w:t>
      </w:r>
    </w:p>
    <w:p w14:paraId="61ADBEA4">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提供排班周视图、月视图，并支持复制本周、本月排班生成下周、下月排班；支持根据坐诊时间、限号数、限约数、间隔数、人数，快速生成时段排班；支持预览排班结果；</w:t>
      </w:r>
    </w:p>
    <w:p w14:paraId="218BC6CC">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挂号</w:t>
      </w:r>
    </w:p>
    <w:p w14:paraId="7F689DDC">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病人通过多种证件刷卡挂号：包括身份证、医保卡、健康卡；支持病人通过多终端进行挂号：包括挂号窗口挂号、门诊医生站挂号、微信挂号、自助机挂号等方式；支持选择不同的费用策略挂号；支持快速套用历史挂号信息；支持挂号至具体科室、具体医生、具体时间；</w:t>
      </w:r>
    </w:p>
    <w:p w14:paraId="75B03759">
      <w:pPr>
        <w:widowControl w:val="0"/>
        <w:numPr>
          <w:ilvl w:val="0"/>
          <w:numId w:val="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挂号记录：支持通过登记人、就诊日期、病人姓名、病人身份证、病人挂号单号、病人费用单号等条件查询挂号记录；支持查看挂号异常记录；</w:t>
      </w:r>
    </w:p>
    <w:p w14:paraId="4F0D633F">
      <w:pPr>
        <w:widowControl w:val="0"/>
        <w:numPr>
          <w:ilvl w:val="0"/>
          <w:numId w:val="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待取号记录：支持通过登记人、就诊日期、病人姓名、病人身份证、病人挂号单号、病人费用单号等条件查询待取号记录；支持直接取号；支持取消预约；</w:t>
      </w:r>
    </w:p>
    <w:p w14:paraId="3B56F270">
      <w:pPr>
        <w:widowControl w:val="0"/>
        <w:numPr>
          <w:ilvl w:val="0"/>
          <w:numId w:val="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新建患者档案：支持新患者的快速建档，建档信息与公卫系统实时共享；</w:t>
      </w:r>
    </w:p>
    <w:bookmarkEnd w:id="45"/>
    <w:p w14:paraId="11830DB9">
      <w:pPr>
        <w:spacing w:before="36" w:after="36"/>
        <w:ind w:firstLine="0" w:firstLineChars="0"/>
        <w:rPr>
          <w:rFonts w:hint="eastAsia" w:ascii="宋体" w:hAnsi="宋体" w:eastAsia="宋体" w:cs="宋体"/>
          <w:b/>
          <w:bCs/>
          <w:sz w:val="24"/>
          <w:szCs w:val="24"/>
          <w:highlight w:val="none"/>
        </w:rPr>
      </w:pPr>
      <w:bookmarkStart w:id="46" w:name="_Toc48142713"/>
      <w:r>
        <w:rPr>
          <w:rFonts w:hint="eastAsia" w:ascii="宋体" w:hAnsi="宋体" w:eastAsia="宋体" w:cs="宋体"/>
          <w:b/>
          <w:bCs/>
          <w:sz w:val="24"/>
          <w:szCs w:val="24"/>
          <w:highlight w:val="none"/>
        </w:rPr>
        <w:t>门急诊费用管理</w:t>
      </w:r>
      <w:bookmarkEnd w:id="46"/>
    </w:p>
    <w:p w14:paraId="30358FEC">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划价收费</w:t>
      </w:r>
    </w:p>
    <w:p w14:paraId="0C6CAAB5">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支持通过待收患者列表快速选择患者；通过姓名、身份证、健康卡等多种方式检索患者，也支持刷身份证、医保卡、健康卡快速定位患者，并且进行快速挂号；支持自动获取开单费用；支持手动新增费用；支持选择成套费用方案；支持现金、一卡通、支付宝、微信等多种支付方式；</w:t>
      </w:r>
    </w:p>
    <w:p w14:paraId="72B5D211">
      <w:pPr>
        <w:widowControl w:val="0"/>
        <w:numPr>
          <w:ilvl w:val="0"/>
          <w:numId w:val="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已收费记录：支持通过时间、病人姓名、病人简码、病人身份证号、收费号等多种条件查询已收费记录；支持退费、补打发票、重打发票等操作；支持查看结算明细及费用明细；</w:t>
      </w:r>
    </w:p>
    <w:p w14:paraId="0B63E72C">
      <w:pPr>
        <w:widowControl w:val="0"/>
        <w:numPr>
          <w:ilvl w:val="0"/>
          <w:numId w:val="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费用划价：支持通过患者挂号记录列表快速选择患者；支持通过姓名、身份证、健康卡等多种方式检索患者，也支持刷身份证、医保卡、健康卡快速定位患者；支持手动新增划价项目，也支持通过方案快速划价；根据患者将会自动加载代收费项目；</w:t>
      </w:r>
    </w:p>
    <w:p w14:paraId="1F4DE4F6">
      <w:pPr>
        <w:widowControl w:val="0"/>
        <w:numPr>
          <w:ilvl w:val="0"/>
          <w:numId w:val="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已划价：支持根据时间、病人信息、划价人等条件查询划价记录；支持打印划价记录；支持生成统计报表；支持修改划价信息；支持查看划价明细；</w:t>
      </w:r>
    </w:p>
    <w:p w14:paraId="576DEB02">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缴款书</w:t>
      </w:r>
    </w:p>
    <w:p w14:paraId="28CBDC19">
      <w:pPr>
        <w:spacing w:before="36" w:after="36"/>
        <w:rPr>
          <w:rFonts w:hint="eastAsia" w:ascii="宋体" w:hAnsi="宋体" w:eastAsia="宋体" w:cs="宋体"/>
          <w:sz w:val="22"/>
          <w:szCs w:val="16"/>
          <w:highlight w:val="none"/>
        </w:rPr>
      </w:pPr>
      <w:r>
        <w:rPr>
          <w:rFonts w:hint="eastAsia" w:ascii="宋体" w:hAnsi="宋体" w:eastAsia="宋体" w:cs="宋体"/>
          <w:sz w:val="22"/>
          <w:szCs w:val="16"/>
          <w:highlight w:val="none"/>
        </w:rPr>
        <w:t>自动汇集缴款信息，一键缴款，生成缴款书；</w:t>
      </w:r>
    </w:p>
    <w:p w14:paraId="2D082798">
      <w:pPr>
        <w:spacing w:before="36" w:after="36"/>
        <w:ind w:firstLine="0" w:firstLineChars="0"/>
        <w:rPr>
          <w:rFonts w:hint="eastAsia" w:ascii="宋体" w:hAnsi="宋体" w:eastAsia="宋体" w:cs="宋体"/>
          <w:b/>
          <w:bCs/>
          <w:sz w:val="24"/>
          <w:szCs w:val="24"/>
          <w:highlight w:val="none"/>
        </w:rPr>
      </w:pPr>
      <w:bookmarkStart w:id="47" w:name="_Toc48142714"/>
      <w:r>
        <w:rPr>
          <w:rFonts w:hint="eastAsia" w:ascii="宋体" w:hAnsi="宋体" w:eastAsia="宋体" w:cs="宋体"/>
          <w:b/>
          <w:bCs/>
          <w:sz w:val="24"/>
          <w:szCs w:val="24"/>
          <w:highlight w:val="none"/>
        </w:rPr>
        <w:t>全科（门诊）医生工作站</w:t>
      </w:r>
      <w:bookmarkEnd w:id="47"/>
    </w:p>
    <w:p w14:paraId="08487D81">
      <w:pPr>
        <w:widowControl w:val="0"/>
        <w:numPr>
          <w:ilvl w:val="0"/>
          <w:numId w:val="10"/>
        </w:numPr>
        <w:spacing w:before="36" w:after="36"/>
        <w:ind w:left="425" w:leftChars="0" w:hanging="425" w:firstLineChars="0"/>
        <w:jc w:val="left"/>
        <w:rPr>
          <w:rFonts w:hint="eastAsia" w:ascii="宋体" w:hAnsi="宋体" w:eastAsia="宋体" w:cs="宋体"/>
          <w:sz w:val="22"/>
          <w:szCs w:val="16"/>
          <w:highlight w:val="none"/>
        </w:rPr>
      </w:pPr>
      <w:r>
        <w:rPr>
          <w:rFonts w:hint="eastAsia" w:ascii="宋体" w:hAnsi="宋体" w:eastAsia="宋体" w:cs="宋体"/>
          <w:sz w:val="22"/>
          <w:szCs w:val="16"/>
          <w:highlight w:val="none"/>
        </w:rPr>
        <w:t>患者列表：提供了包括候诊患者列表以及我关注的患者列表，方便医生直接对列表内的患者进行操作；</w:t>
      </w:r>
    </w:p>
    <w:p w14:paraId="1898E4BE">
      <w:pPr>
        <w:widowControl w:val="0"/>
        <w:numPr>
          <w:ilvl w:val="0"/>
          <w:numId w:val="10"/>
        </w:numPr>
        <w:spacing w:before="36" w:after="36"/>
        <w:ind w:left="425" w:leftChars="0" w:hanging="425" w:firstLineChars="0"/>
        <w:jc w:val="left"/>
        <w:rPr>
          <w:rFonts w:hint="eastAsia" w:ascii="宋体" w:hAnsi="宋体" w:eastAsia="宋体" w:cs="宋体"/>
          <w:sz w:val="22"/>
          <w:szCs w:val="16"/>
          <w:highlight w:val="none"/>
        </w:rPr>
      </w:pPr>
      <w:r>
        <w:rPr>
          <w:rFonts w:hint="eastAsia" w:ascii="宋体" w:hAnsi="宋体" w:eastAsia="宋体" w:cs="宋体"/>
          <w:sz w:val="22"/>
          <w:szCs w:val="16"/>
          <w:highlight w:val="none"/>
        </w:rPr>
        <w:t>公卫随访：提供公卫随访任务列表；</w:t>
      </w:r>
    </w:p>
    <w:p w14:paraId="01C701F3">
      <w:pPr>
        <w:widowControl w:val="0"/>
        <w:numPr>
          <w:ilvl w:val="0"/>
          <w:numId w:val="10"/>
        </w:numPr>
        <w:spacing w:before="36" w:after="36"/>
        <w:ind w:left="425" w:leftChars="0" w:hanging="425" w:firstLineChars="0"/>
        <w:jc w:val="left"/>
        <w:rPr>
          <w:rFonts w:hint="eastAsia" w:ascii="宋体" w:hAnsi="宋体" w:eastAsia="宋体" w:cs="宋体"/>
          <w:sz w:val="22"/>
          <w:szCs w:val="16"/>
          <w:highlight w:val="none"/>
        </w:rPr>
      </w:pPr>
      <w:r>
        <w:rPr>
          <w:rFonts w:hint="eastAsia" w:ascii="宋体" w:hAnsi="宋体" w:eastAsia="宋体" w:cs="宋体"/>
          <w:sz w:val="22"/>
          <w:szCs w:val="16"/>
          <w:highlight w:val="none"/>
        </w:rPr>
        <w:t>签约到期：提供签约到期的患者列表，</w:t>
      </w:r>
    </w:p>
    <w:p w14:paraId="636A7D47">
      <w:pPr>
        <w:widowControl w:val="0"/>
        <w:numPr>
          <w:ilvl w:val="0"/>
          <w:numId w:val="10"/>
        </w:numPr>
        <w:spacing w:before="36" w:after="36"/>
        <w:ind w:left="425" w:leftChars="0" w:hanging="425" w:firstLineChars="0"/>
        <w:jc w:val="left"/>
        <w:rPr>
          <w:rFonts w:hint="eastAsia" w:ascii="宋体" w:hAnsi="宋体" w:eastAsia="宋体" w:cs="宋体"/>
          <w:sz w:val="22"/>
          <w:szCs w:val="16"/>
          <w:highlight w:val="none"/>
        </w:rPr>
      </w:pPr>
      <w:r>
        <w:rPr>
          <w:rFonts w:hint="eastAsia" w:ascii="宋体" w:hAnsi="宋体" w:eastAsia="宋体" w:cs="宋体"/>
          <w:sz w:val="22"/>
          <w:szCs w:val="16"/>
          <w:highlight w:val="none"/>
        </w:rPr>
        <w:t>就诊趋势：展示门诊最近就诊趋势，包括门诊量及预约量；</w:t>
      </w:r>
    </w:p>
    <w:p w14:paraId="6FEC5324">
      <w:pPr>
        <w:widowControl w:val="0"/>
        <w:numPr>
          <w:ilvl w:val="0"/>
          <w:numId w:val="10"/>
        </w:numPr>
        <w:spacing w:before="36" w:after="36"/>
        <w:ind w:left="425" w:leftChars="0" w:hanging="425" w:firstLineChars="0"/>
        <w:jc w:val="left"/>
        <w:rPr>
          <w:rFonts w:hint="eastAsia" w:ascii="宋体" w:hAnsi="宋体" w:eastAsia="宋体" w:cs="宋体"/>
          <w:sz w:val="22"/>
          <w:szCs w:val="16"/>
          <w:highlight w:val="none"/>
        </w:rPr>
      </w:pPr>
      <w:r>
        <w:rPr>
          <w:rFonts w:hint="eastAsia" w:ascii="宋体" w:hAnsi="宋体" w:eastAsia="宋体" w:cs="宋体"/>
          <w:sz w:val="22"/>
          <w:szCs w:val="16"/>
          <w:highlight w:val="none"/>
        </w:rPr>
        <w:t>使用帮助：展示系统使用帮助公告；</w:t>
      </w:r>
    </w:p>
    <w:p w14:paraId="382C6354">
      <w:pPr>
        <w:widowControl w:val="0"/>
        <w:numPr>
          <w:ilvl w:val="0"/>
          <w:numId w:val="10"/>
        </w:numPr>
        <w:spacing w:before="36" w:after="36"/>
        <w:ind w:left="425" w:leftChars="0" w:hanging="425" w:firstLineChars="0"/>
        <w:jc w:val="left"/>
        <w:rPr>
          <w:rFonts w:hint="eastAsia" w:ascii="宋体" w:hAnsi="宋体" w:eastAsia="宋体" w:cs="宋体"/>
          <w:sz w:val="22"/>
          <w:szCs w:val="16"/>
          <w:highlight w:val="none"/>
        </w:rPr>
      </w:pPr>
      <w:r>
        <w:rPr>
          <w:rFonts w:hint="eastAsia" w:ascii="宋体" w:hAnsi="宋体" w:eastAsia="宋体" w:cs="宋体"/>
          <w:sz w:val="22"/>
          <w:szCs w:val="16"/>
          <w:highlight w:val="none"/>
        </w:rPr>
        <w:t>重点指标展示：包括今日接诊量、今日挂号量、累计接诊量、今日预约量；</w:t>
      </w:r>
    </w:p>
    <w:p w14:paraId="5DFD0978">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门诊病历</w:t>
      </w:r>
    </w:p>
    <w:p w14:paraId="19C13218">
      <w:pPr>
        <w:rPr>
          <w:rFonts w:hint="eastAsia" w:ascii="宋体" w:hAnsi="宋体" w:eastAsia="宋体" w:cs="宋体"/>
          <w:sz w:val="22"/>
          <w:szCs w:val="16"/>
          <w:highlight w:val="none"/>
          <w:lang w:eastAsia="zh-CN"/>
        </w:rPr>
      </w:pPr>
      <w:r>
        <w:rPr>
          <w:rFonts w:hint="eastAsia" w:ascii="宋体" w:hAnsi="宋体" w:eastAsia="宋体" w:cs="宋体"/>
          <w:sz w:val="22"/>
          <w:szCs w:val="16"/>
          <w:highlight w:val="none"/>
        </w:rPr>
        <w:t>支持不同机构、科室不同的病历结构；支持模板快速导入、历史病历导入；处置通过医嘱导入；即往史、过敏史支持结构化录入；支持元素级灵活配置；支持一键快速签名；支持一键打印；</w:t>
      </w:r>
    </w:p>
    <w:p w14:paraId="31CEE564">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门诊医嘱</w:t>
      </w:r>
    </w:p>
    <w:p w14:paraId="64008618">
      <w:pPr>
        <w:rPr>
          <w:rFonts w:hint="eastAsia" w:ascii="宋体" w:hAnsi="宋体" w:eastAsia="宋体" w:cs="宋体"/>
          <w:sz w:val="22"/>
          <w:szCs w:val="16"/>
          <w:highlight w:val="none"/>
        </w:rPr>
      </w:pPr>
      <w:r>
        <w:rPr>
          <w:rFonts w:hint="eastAsia" w:ascii="宋体" w:hAnsi="宋体" w:eastAsia="宋体" w:cs="宋体"/>
          <w:sz w:val="22"/>
          <w:szCs w:val="16"/>
          <w:highlight w:val="none"/>
        </w:rPr>
        <w:t>支持多种医嘱下发方式：简拼检索、分类下达、历史导入、方案导入、常用导入；支持对接合理用药；门诊病历、单据一键打印；支持医嘱上下拖动顺序、自由组合；遵循ICD-10标准诊断目录、ICD-9- CM3标准手术目录；设置医嘱选项默认值等。</w:t>
      </w:r>
    </w:p>
    <w:p w14:paraId="1C950F8F">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报告查看</w:t>
      </w:r>
    </w:p>
    <w:p w14:paraId="0730E848">
      <w:pPr>
        <w:rPr>
          <w:rFonts w:hint="eastAsia" w:ascii="宋体" w:hAnsi="宋体" w:eastAsia="宋体" w:cs="宋体"/>
          <w:sz w:val="22"/>
          <w:szCs w:val="16"/>
          <w:highlight w:val="none"/>
        </w:rPr>
      </w:pPr>
      <w:r>
        <w:rPr>
          <w:rFonts w:hint="eastAsia" w:ascii="宋体" w:hAnsi="宋体" w:eastAsia="宋体" w:cs="宋体"/>
          <w:sz w:val="22"/>
          <w:szCs w:val="16"/>
          <w:highlight w:val="none"/>
        </w:rPr>
        <w:t>支持查看院内门诊、住院所有就诊报告；以单次就诊为单位，整合报告；报告异常结果醒目标注；</w:t>
      </w:r>
    </w:p>
    <w:p w14:paraId="13AF4279">
      <w:pPr>
        <w:widowControl w:val="0"/>
        <w:numPr>
          <w:ilvl w:val="0"/>
          <w:numId w:val="0"/>
        </w:numPr>
        <w:spacing w:before="36" w:after="36"/>
        <w:ind w:left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报告对比：检验同类型报告，一页表格式对比趋势；检查同类型报告，横向排列对比结果；</w:t>
      </w:r>
    </w:p>
    <w:p w14:paraId="310C46A0">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其他便捷功能需求</w:t>
      </w:r>
    </w:p>
    <w:p w14:paraId="559A13EF">
      <w:pPr>
        <w:widowControl w:val="0"/>
        <w:numPr>
          <w:ilvl w:val="0"/>
          <w:numId w:val="1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医生站挂号：支持在全科（门诊）医生站直接给患者挂号；</w:t>
      </w:r>
    </w:p>
    <w:p w14:paraId="5DE58819">
      <w:pPr>
        <w:widowControl w:val="0"/>
        <w:numPr>
          <w:ilvl w:val="0"/>
          <w:numId w:val="1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单据集中打印：支持在全科（门诊）医生站直接打印所需要的单据；</w:t>
      </w:r>
    </w:p>
    <w:p w14:paraId="68989368">
      <w:pPr>
        <w:widowControl w:val="0"/>
        <w:numPr>
          <w:ilvl w:val="0"/>
          <w:numId w:val="1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转科转诊：支持在全科（门诊）医生站进行院内转科转诊；</w:t>
      </w:r>
    </w:p>
    <w:p w14:paraId="79EACDEA">
      <w:pPr>
        <w:widowControl w:val="0"/>
        <w:numPr>
          <w:ilvl w:val="0"/>
          <w:numId w:val="1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入院申请：全科（门诊）医生站可以直接进行入院申请，包括填写入院途径、入院病情、入院科室等信息；</w:t>
      </w:r>
    </w:p>
    <w:p w14:paraId="6C9E9D2A">
      <w:pPr>
        <w:widowControl w:val="0"/>
        <w:numPr>
          <w:ilvl w:val="0"/>
          <w:numId w:val="1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医生站收费：支持在全科（门诊）医生站进行收费；</w:t>
      </w:r>
    </w:p>
    <w:p w14:paraId="1D6F412B">
      <w:pPr>
        <w:widowControl w:val="0"/>
        <w:numPr>
          <w:ilvl w:val="0"/>
          <w:numId w:val="1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消息提醒：在门诊医生站进行危急值提醒、报告提醒、传染病上报提醒、建档提醒、签约提醒；</w:t>
      </w:r>
    </w:p>
    <w:p w14:paraId="0DD2CC64">
      <w:pPr>
        <w:spacing w:before="36" w:after="36"/>
        <w:ind w:firstLine="0" w:firstLineChars="0"/>
        <w:rPr>
          <w:rFonts w:hint="eastAsia" w:ascii="宋体" w:hAnsi="宋体" w:eastAsia="宋体" w:cs="宋体"/>
          <w:b/>
          <w:bCs/>
          <w:sz w:val="24"/>
          <w:szCs w:val="24"/>
          <w:highlight w:val="none"/>
        </w:rPr>
      </w:pPr>
      <w:bookmarkStart w:id="48" w:name="_Toc48142715"/>
      <w:r>
        <w:rPr>
          <w:rFonts w:hint="eastAsia" w:ascii="宋体" w:hAnsi="宋体" w:eastAsia="宋体" w:cs="宋体"/>
          <w:b/>
          <w:bCs/>
          <w:sz w:val="24"/>
          <w:szCs w:val="24"/>
          <w:highlight w:val="none"/>
        </w:rPr>
        <w:t>门诊护士工作站</w:t>
      </w:r>
      <w:bookmarkEnd w:id="48"/>
    </w:p>
    <w:p w14:paraId="2848B090">
      <w:pPr>
        <w:rPr>
          <w:rFonts w:hint="eastAsia" w:ascii="宋体" w:hAnsi="宋体" w:eastAsia="宋体" w:cs="宋体"/>
          <w:sz w:val="22"/>
          <w:szCs w:val="16"/>
          <w:highlight w:val="none"/>
        </w:rPr>
      </w:pPr>
      <w:r>
        <w:rPr>
          <w:rFonts w:hint="eastAsia" w:ascii="宋体" w:hAnsi="宋体" w:eastAsia="宋体" w:cs="宋体"/>
          <w:sz w:val="22"/>
          <w:szCs w:val="16"/>
          <w:highlight w:val="none"/>
        </w:rPr>
        <w:t>支持通过姓名、身份证号等多种条件检索患者；病人信息突出显示，执行内容及状态更加直观显示，确保护士可以精准执行；多频率项目自动拆分执行；支持打印瓶签或执行单；</w:t>
      </w:r>
    </w:p>
    <w:p w14:paraId="0E64EB8A">
      <w:pPr>
        <w:widowControl w:val="0"/>
        <w:numPr>
          <w:ilvl w:val="0"/>
          <w:numId w:val="0"/>
        </w:numPr>
        <w:spacing w:before="36" w:after="36"/>
        <w:ind w:left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书写护理病理：提供护理文书书写的快捷入口，书写护理文书更加便捷高效；</w:t>
      </w:r>
    </w:p>
    <w:p w14:paraId="3BDB5160">
      <w:pPr>
        <w:numPr>
          <w:ilvl w:val="4"/>
          <w:numId w:val="0"/>
        </w:numPr>
        <w:spacing w:before="120" w:after="120"/>
        <w:jc w:val="both"/>
        <w:rPr>
          <w:rFonts w:hint="eastAsia" w:ascii="宋体" w:hAnsi="宋体" w:eastAsia="宋体" w:cs="宋体"/>
          <w:sz w:val="24"/>
          <w:szCs w:val="24"/>
          <w:highlight w:val="none"/>
        </w:rPr>
      </w:pPr>
      <w:bookmarkStart w:id="49" w:name="_Toc48142716"/>
      <w:bookmarkStart w:id="50" w:name="_Toc43368487"/>
      <w:bookmarkStart w:id="51" w:name="_Toc27657"/>
      <w:r>
        <w:rPr>
          <w:rFonts w:hint="eastAsia" w:ascii="宋体" w:hAnsi="宋体" w:eastAsia="宋体" w:cs="宋体"/>
          <w:sz w:val="24"/>
          <w:szCs w:val="24"/>
          <w:highlight w:val="none"/>
        </w:rPr>
        <w:t>住院</w:t>
      </w:r>
      <w:bookmarkEnd w:id="49"/>
      <w:bookmarkEnd w:id="50"/>
      <w:r>
        <w:rPr>
          <w:rFonts w:hint="eastAsia" w:ascii="宋体" w:hAnsi="宋体" w:eastAsia="宋体" w:cs="宋体"/>
          <w:sz w:val="24"/>
          <w:szCs w:val="24"/>
          <w:highlight w:val="none"/>
        </w:rPr>
        <w:t>医疗服务</w:t>
      </w:r>
      <w:bookmarkEnd w:id="51"/>
    </w:p>
    <w:p w14:paraId="4DCA9462">
      <w:pPr>
        <w:spacing w:before="36" w:after="36"/>
        <w:ind w:firstLine="0" w:firstLineChars="0"/>
        <w:rPr>
          <w:rFonts w:hint="eastAsia" w:ascii="宋体" w:hAnsi="宋体" w:eastAsia="宋体" w:cs="宋体"/>
          <w:b/>
          <w:bCs/>
          <w:sz w:val="24"/>
          <w:szCs w:val="24"/>
          <w:highlight w:val="none"/>
        </w:rPr>
      </w:pPr>
      <w:bookmarkStart w:id="52" w:name="_Toc48142717"/>
      <w:r>
        <w:rPr>
          <w:rFonts w:hint="eastAsia" w:ascii="宋体" w:hAnsi="宋体" w:eastAsia="宋体" w:cs="宋体"/>
          <w:b/>
          <w:bCs/>
          <w:sz w:val="24"/>
          <w:szCs w:val="24"/>
          <w:highlight w:val="none"/>
        </w:rPr>
        <w:t>病人入出转管理</w:t>
      </w:r>
      <w:bookmarkEnd w:id="52"/>
    </w:p>
    <w:p w14:paraId="44F9D161">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入院管理</w:t>
      </w:r>
    </w:p>
    <w:p w14:paraId="6FDA6299">
      <w:pPr>
        <w:widowControl w:val="0"/>
        <w:numPr>
          <w:ilvl w:val="0"/>
          <w:numId w:val="1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入院登记：接受门诊入院申请，患者信息自动加载；支持刷身份证、医保卡、健康卡快速定位患者；支持外接平台，接收住院转入患者，同步患者基本信息；支持编辑基本档案信息，并实现医卫联动，发送档案更新提醒到公卫系统；</w:t>
      </w:r>
    </w:p>
    <w:p w14:paraId="667078BD">
      <w:pPr>
        <w:widowControl w:val="0"/>
        <w:numPr>
          <w:ilvl w:val="0"/>
          <w:numId w:val="1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入院记录查询：支持多维度查询入院记录；</w:t>
      </w:r>
    </w:p>
    <w:p w14:paraId="5A1EE5EE">
      <w:pPr>
        <w:widowControl w:val="0"/>
        <w:numPr>
          <w:ilvl w:val="0"/>
          <w:numId w:val="1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支持登记担保、支持登记保险；</w:t>
      </w:r>
    </w:p>
    <w:p w14:paraId="49F68464">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病人管理</w:t>
      </w:r>
    </w:p>
    <w:p w14:paraId="37DB8B22">
      <w:pPr>
        <w:widowControl w:val="0"/>
        <w:numPr>
          <w:ilvl w:val="0"/>
          <w:numId w:val="1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病人管理：查询在院、出院病人信息及预约住院患者信息，并可修改基本信息和入院信息。</w:t>
      </w:r>
    </w:p>
    <w:p w14:paraId="0966524D">
      <w:pPr>
        <w:widowControl w:val="0"/>
        <w:numPr>
          <w:ilvl w:val="0"/>
          <w:numId w:val="1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支持对患者进行入科、撤销入科、换床、转病区、预出院、出院等操作；</w:t>
      </w:r>
    </w:p>
    <w:p w14:paraId="5D652EE5">
      <w:pPr>
        <w:widowControl w:val="0"/>
        <w:numPr>
          <w:ilvl w:val="0"/>
          <w:numId w:val="1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出院登记：提供病人预出院、出院登记。支持所有操作的撤消。</w:t>
      </w:r>
    </w:p>
    <w:p w14:paraId="0904358E">
      <w:pPr>
        <w:widowControl w:val="0"/>
        <w:numPr>
          <w:ilvl w:val="0"/>
          <w:numId w:val="1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床位维护：维护病区内床位，支持同一病区对应多科室的床位。</w:t>
      </w:r>
    </w:p>
    <w:p w14:paraId="3FB24043">
      <w:pPr>
        <w:spacing w:before="36" w:after="36"/>
        <w:ind w:firstLine="0" w:firstLineChars="0"/>
        <w:rPr>
          <w:rFonts w:hint="eastAsia" w:ascii="宋体" w:hAnsi="宋体" w:eastAsia="宋体" w:cs="宋体"/>
          <w:b/>
          <w:bCs/>
          <w:sz w:val="24"/>
          <w:szCs w:val="24"/>
          <w:highlight w:val="none"/>
        </w:rPr>
      </w:pPr>
      <w:bookmarkStart w:id="53" w:name="_Toc48142718"/>
      <w:r>
        <w:rPr>
          <w:rFonts w:hint="eastAsia" w:ascii="宋体" w:hAnsi="宋体" w:eastAsia="宋体" w:cs="宋体"/>
          <w:b/>
          <w:bCs/>
          <w:sz w:val="24"/>
          <w:szCs w:val="24"/>
          <w:highlight w:val="none"/>
        </w:rPr>
        <w:t>住院费用管理</w:t>
      </w:r>
      <w:bookmarkEnd w:id="53"/>
    </w:p>
    <w:p w14:paraId="4FA6219D">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记账管理</w:t>
      </w:r>
    </w:p>
    <w:p w14:paraId="04A309EB">
      <w:pPr>
        <w:widowControl w:val="0"/>
        <w:numPr>
          <w:ilvl w:val="0"/>
          <w:numId w:val="1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记账：支持关键字智能查询患者；支持单个患者单独记账、多个患者批量同时记账，支持批量保存；支持手动新增记账项目；支持导入方案项目记账；支持引用病人本次住院治疗方案，方案与住院护士站共享；</w:t>
      </w:r>
    </w:p>
    <w:p w14:paraId="411C45E8">
      <w:pPr>
        <w:widowControl w:val="0"/>
        <w:numPr>
          <w:ilvl w:val="0"/>
          <w:numId w:val="1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记账记录：支持查询记账记录；支持挂接记账报表；按照单个患者展示记账记录与记账明细；支持修改记账记录；支持销账登记；</w:t>
      </w:r>
    </w:p>
    <w:p w14:paraId="7998AFE6">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结账管理</w:t>
      </w:r>
    </w:p>
    <w:p w14:paraId="75A29BBC">
      <w:pPr>
        <w:widowControl w:val="0"/>
        <w:numPr>
          <w:ilvl w:val="0"/>
          <w:numId w:val="15"/>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结账：支持出院结账、中途结账；支持自动加载病人未结项目清单；支持母亲、婴儿收费项目分别查看，一并结账；支持医保费用与自费费用分开结帐；系统根据医嘱状态，自动预警，包括提醒、禁止；</w:t>
      </w:r>
    </w:p>
    <w:p w14:paraId="5F886250">
      <w:pPr>
        <w:widowControl w:val="0"/>
        <w:numPr>
          <w:ilvl w:val="0"/>
          <w:numId w:val="15"/>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多种支付方式：支持微信、支付宝、现金、一卡通等多种方式结账；</w:t>
      </w:r>
    </w:p>
    <w:p w14:paraId="0C720E37">
      <w:pPr>
        <w:widowControl w:val="0"/>
        <w:numPr>
          <w:ilvl w:val="0"/>
          <w:numId w:val="15"/>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支持发票静默打印；</w:t>
      </w:r>
    </w:p>
    <w:p w14:paraId="73A50417">
      <w:pPr>
        <w:widowControl w:val="0"/>
        <w:numPr>
          <w:ilvl w:val="0"/>
          <w:numId w:val="15"/>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结账记录：支持查询结账记录；支持挂接记账报表；支持重打、补打发票；按照不同颜色展示结账状态；</w:t>
      </w:r>
    </w:p>
    <w:p w14:paraId="54690F44">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预交管理</w:t>
      </w:r>
    </w:p>
    <w:p w14:paraId="0652BD18">
      <w:pPr>
        <w:rPr>
          <w:rFonts w:hint="eastAsia" w:ascii="宋体" w:hAnsi="宋体" w:eastAsia="宋体" w:cs="宋体"/>
          <w:sz w:val="22"/>
          <w:szCs w:val="16"/>
          <w:highlight w:val="none"/>
        </w:rPr>
      </w:pPr>
      <w:r>
        <w:rPr>
          <w:rFonts w:hint="eastAsia" w:ascii="宋体" w:hAnsi="宋体" w:eastAsia="宋体" w:cs="宋体"/>
          <w:sz w:val="22"/>
          <w:szCs w:val="16"/>
          <w:highlight w:val="none"/>
        </w:rPr>
        <w:t>支持关键字智能查询患者、支持刷身份证、健康卡快速定位患者；支持分科室预交；支持微信、支付宝、现金、一卡通等多种方式结账；支持发票静默打印、重打、补打；支持查看当前患者的预交记录；支持预交退款登记；支持补充打印预交发票；支持打印缴款书；支持挂接自定义报表；按照患者展示预交明细；按照不同颜色区分预交状态；</w:t>
      </w:r>
    </w:p>
    <w:p w14:paraId="439D5CD6">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病人费用查询</w:t>
      </w:r>
    </w:p>
    <w:p w14:paraId="3E1B724A">
      <w:pPr>
        <w:rPr>
          <w:rFonts w:hint="eastAsia" w:ascii="宋体" w:hAnsi="宋体" w:eastAsia="宋体" w:cs="宋体"/>
          <w:sz w:val="22"/>
          <w:szCs w:val="16"/>
          <w:highlight w:val="none"/>
        </w:rPr>
      </w:pPr>
      <w:r>
        <w:rPr>
          <w:rFonts w:hint="eastAsia" w:ascii="宋体" w:hAnsi="宋体" w:eastAsia="宋体" w:cs="宋体"/>
          <w:sz w:val="22"/>
          <w:szCs w:val="16"/>
          <w:highlight w:val="none"/>
        </w:rPr>
        <w:t>支持分科室查询在院、预出院、已出院患者，支持快速记账、销账、打印记账单、预结算，支持查询医嘱记录、医嘱发送明细、医嘱计价明细。</w:t>
      </w:r>
    </w:p>
    <w:p w14:paraId="64605BEE">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报警线管理</w:t>
      </w:r>
    </w:p>
    <w:p w14:paraId="51C90E31">
      <w:pPr>
        <w:rPr>
          <w:rFonts w:hint="eastAsia" w:ascii="宋体" w:hAnsi="宋体" w:eastAsia="宋体" w:cs="宋体"/>
          <w:sz w:val="22"/>
          <w:szCs w:val="16"/>
          <w:highlight w:val="none"/>
        </w:rPr>
      </w:pPr>
      <w:r>
        <w:rPr>
          <w:rFonts w:hint="eastAsia" w:ascii="宋体" w:hAnsi="宋体" w:eastAsia="宋体" w:cs="宋体"/>
          <w:sz w:val="22"/>
          <w:szCs w:val="16"/>
          <w:highlight w:val="none"/>
        </w:rPr>
        <w:t>支持每日费用、累积费用报警线分别设置预警值。支持多条预警规则同时进行。</w:t>
      </w:r>
    </w:p>
    <w:p w14:paraId="67DFCE28">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自动计算管理</w:t>
      </w:r>
    </w:p>
    <w:p w14:paraId="65E28EC5">
      <w:pPr>
        <w:rPr>
          <w:rFonts w:hint="eastAsia" w:ascii="宋体" w:hAnsi="宋体" w:eastAsia="宋体" w:cs="宋体"/>
          <w:sz w:val="22"/>
          <w:szCs w:val="16"/>
          <w:highlight w:val="none"/>
        </w:rPr>
      </w:pPr>
      <w:r>
        <w:rPr>
          <w:rFonts w:hint="eastAsia" w:ascii="宋体" w:hAnsi="宋体" w:eastAsia="宋体" w:cs="宋体"/>
          <w:sz w:val="22"/>
          <w:szCs w:val="16"/>
          <w:highlight w:val="none"/>
        </w:rPr>
        <w:t>支持床位费、护理费、指定费用自动计算设置。</w:t>
      </w:r>
    </w:p>
    <w:p w14:paraId="4E022ED0">
      <w:pPr>
        <w:spacing w:before="36" w:after="36"/>
        <w:ind w:firstLine="0" w:firstLineChars="0"/>
        <w:rPr>
          <w:rFonts w:hint="eastAsia" w:ascii="宋体" w:hAnsi="宋体" w:eastAsia="宋体" w:cs="宋体"/>
          <w:b/>
          <w:bCs/>
          <w:sz w:val="24"/>
          <w:szCs w:val="24"/>
          <w:highlight w:val="none"/>
        </w:rPr>
      </w:pPr>
      <w:bookmarkStart w:id="54" w:name="_Toc48142719"/>
      <w:r>
        <w:rPr>
          <w:rFonts w:hint="eastAsia" w:ascii="宋体" w:hAnsi="宋体" w:eastAsia="宋体" w:cs="宋体"/>
          <w:b/>
          <w:bCs/>
          <w:sz w:val="24"/>
          <w:szCs w:val="24"/>
          <w:highlight w:val="none"/>
        </w:rPr>
        <w:t>住院医生站</w:t>
      </w:r>
      <w:bookmarkEnd w:id="54"/>
    </w:p>
    <w:p w14:paraId="4DEF7990">
      <w:pPr>
        <w:widowControl w:val="0"/>
        <w:numPr>
          <w:ilvl w:val="0"/>
          <w:numId w:val="16"/>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我的病人：提供了我的病人的列表，方便医生直接对列表内的患者进行操作；</w:t>
      </w:r>
    </w:p>
    <w:p w14:paraId="6BF7E557">
      <w:pPr>
        <w:widowControl w:val="0"/>
        <w:numPr>
          <w:ilvl w:val="0"/>
          <w:numId w:val="16"/>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待办任务：提供公卫随访任务列表；</w:t>
      </w:r>
    </w:p>
    <w:p w14:paraId="724312BF">
      <w:pPr>
        <w:widowControl w:val="0"/>
        <w:numPr>
          <w:ilvl w:val="0"/>
          <w:numId w:val="16"/>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签约到期：提供签约到期的患者列表；</w:t>
      </w:r>
    </w:p>
    <w:p w14:paraId="1C65356A">
      <w:pPr>
        <w:widowControl w:val="0"/>
        <w:numPr>
          <w:ilvl w:val="0"/>
          <w:numId w:val="16"/>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就诊趋势：展示门诊最近就诊趋势，包括门诊量及预约量；</w:t>
      </w:r>
    </w:p>
    <w:p w14:paraId="2DB2DE67">
      <w:pPr>
        <w:widowControl w:val="0"/>
        <w:numPr>
          <w:ilvl w:val="0"/>
          <w:numId w:val="16"/>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使用帮助：展示系统使用帮助公告；</w:t>
      </w:r>
    </w:p>
    <w:p w14:paraId="62D72145">
      <w:pPr>
        <w:widowControl w:val="0"/>
        <w:numPr>
          <w:ilvl w:val="0"/>
          <w:numId w:val="16"/>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重点指标展示：包括今日接诊量、今日挂号量、累计接诊量、今日预约量；</w:t>
      </w:r>
    </w:p>
    <w:p w14:paraId="65CE2474">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医嘱记录</w:t>
      </w:r>
    </w:p>
    <w:p w14:paraId="58024815">
      <w:pPr>
        <w:rPr>
          <w:rFonts w:hint="eastAsia" w:ascii="宋体" w:hAnsi="宋体" w:eastAsia="宋体" w:cs="宋体"/>
          <w:sz w:val="22"/>
          <w:szCs w:val="16"/>
          <w:highlight w:val="none"/>
        </w:rPr>
      </w:pPr>
      <w:r>
        <w:rPr>
          <w:rFonts w:hint="eastAsia" w:ascii="宋体" w:hAnsi="宋体" w:eastAsia="宋体" w:cs="宋体"/>
          <w:sz w:val="22"/>
          <w:szCs w:val="16"/>
          <w:highlight w:val="none"/>
        </w:rPr>
        <w:t>支持多种业务场景的住院医嘱发送流程；根据医嘱分类、医嘱类型，配备不同医嘱申请模板；支持多种医嘱下发方式；支持对接合理用药；支持补录住院医嘱；支持医嘱计价统计、支持医嘱发送统计；支持医嘱一键发送；支持设置医嘱选项默认值。</w:t>
      </w:r>
    </w:p>
    <w:p w14:paraId="5AD28EA3">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临床诊断</w:t>
      </w:r>
    </w:p>
    <w:p w14:paraId="7A3B8557">
      <w:pPr>
        <w:rPr>
          <w:rFonts w:hint="eastAsia" w:ascii="宋体" w:hAnsi="宋体" w:eastAsia="宋体" w:cs="宋体"/>
          <w:sz w:val="22"/>
          <w:szCs w:val="16"/>
          <w:highlight w:val="none"/>
        </w:rPr>
      </w:pPr>
      <w:r>
        <w:rPr>
          <w:rFonts w:hint="eastAsia" w:ascii="宋体" w:hAnsi="宋体" w:eastAsia="宋体" w:cs="宋体"/>
          <w:sz w:val="22"/>
          <w:szCs w:val="16"/>
          <w:highlight w:val="none"/>
        </w:rPr>
        <w:t>遵循电子病历标准规范，初始化标准诊断目录；遵循ICD-10标准诊断目录、ICD-9- CM3标准手术目录；支持各类型临床诊断相互引用，快速导入诊断；系统自动同步门诊诊断，并自动填充；</w:t>
      </w:r>
    </w:p>
    <w:p w14:paraId="48E6B0BB">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临床首页</w:t>
      </w:r>
    </w:p>
    <w:p w14:paraId="4E7B2B5F">
      <w:pPr>
        <w:rPr>
          <w:rFonts w:hint="eastAsia" w:ascii="宋体" w:hAnsi="宋体" w:eastAsia="宋体" w:cs="宋体"/>
          <w:sz w:val="22"/>
          <w:szCs w:val="16"/>
          <w:highlight w:val="none"/>
        </w:rPr>
      </w:pPr>
      <w:r>
        <w:rPr>
          <w:rFonts w:hint="eastAsia" w:ascii="宋体" w:hAnsi="宋体" w:eastAsia="宋体" w:cs="宋体"/>
          <w:sz w:val="22"/>
          <w:szCs w:val="16"/>
          <w:highlight w:val="none"/>
        </w:rPr>
        <w:t>提供患者的基本信息、诊断信息、手术信息及费用信息；</w:t>
      </w:r>
    </w:p>
    <w:p w14:paraId="1BDC1F04">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住院病历</w:t>
      </w:r>
    </w:p>
    <w:p w14:paraId="7B0B6B6A">
      <w:pPr>
        <w:rPr>
          <w:rFonts w:hint="eastAsia" w:ascii="宋体" w:hAnsi="宋体" w:eastAsia="宋体" w:cs="宋体"/>
          <w:sz w:val="22"/>
          <w:szCs w:val="16"/>
          <w:highlight w:val="none"/>
        </w:rPr>
      </w:pPr>
      <w:r>
        <w:rPr>
          <w:rFonts w:hint="eastAsia" w:ascii="宋体" w:hAnsi="宋体" w:eastAsia="宋体" w:cs="宋体"/>
          <w:sz w:val="22"/>
          <w:szCs w:val="16"/>
          <w:highlight w:val="none"/>
        </w:rPr>
        <w:t>支持模板快速导入，支持历史病历导入；即往史、过敏史支持结构化录入；支持元素级灵活配置；支持一键快速签名、打印。支持病历审定、病历质控；</w:t>
      </w:r>
    </w:p>
    <w:p w14:paraId="6936ECEC">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病历审订</w:t>
      </w:r>
    </w:p>
    <w:p w14:paraId="6EA1FFA9">
      <w:pPr>
        <w:rPr>
          <w:rFonts w:hint="eastAsia" w:ascii="宋体" w:hAnsi="宋体" w:eastAsia="宋体" w:cs="宋体"/>
          <w:sz w:val="22"/>
          <w:szCs w:val="16"/>
          <w:highlight w:val="none"/>
        </w:rPr>
      </w:pPr>
      <w:r>
        <w:rPr>
          <w:rFonts w:hint="eastAsia" w:ascii="宋体" w:hAnsi="宋体" w:eastAsia="宋体" w:cs="宋体"/>
          <w:sz w:val="22"/>
          <w:szCs w:val="16"/>
          <w:highlight w:val="none"/>
        </w:rPr>
        <w:t>病历完成书写过后，可以进行提交审订操作，支持批量提交，并支持查看审定历程。</w:t>
      </w:r>
    </w:p>
    <w:p w14:paraId="0148DBCF">
      <w:pPr>
        <w:spacing w:before="36" w:after="36"/>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报告查看</w:t>
      </w:r>
    </w:p>
    <w:p w14:paraId="39437C2C">
      <w:pPr>
        <w:rPr>
          <w:rFonts w:hint="eastAsia" w:ascii="宋体" w:hAnsi="宋体" w:eastAsia="宋体" w:cs="宋体"/>
          <w:sz w:val="22"/>
          <w:szCs w:val="16"/>
          <w:highlight w:val="none"/>
        </w:rPr>
      </w:pPr>
      <w:r>
        <w:rPr>
          <w:rFonts w:hint="eastAsia" w:ascii="宋体" w:hAnsi="宋体" w:eastAsia="宋体" w:cs="宋体"/>
          <w:sz w:val="22"/>
          <w:szCs w:val="16"/>
          <w:highlight w:val="none"/>
        </w:rPr>
        <w:t>住院医生站与LIS、PACS业务协同，下达医嘱自动传输，报告发布自动调阅；可查看院内门诊、住院所有就诊报告；支持以单次就诊为单位，整合报告；实现报告异常结果醒目标注；</w:t>
      </w:r>
    </w:p>
    <w:p w14:paraId="3BB647E7">
      <w:pPr>
        <w:widowControl w:val="0"/>
        <w:numPr>
          <w:ilvl w:val="0"/>
          <w:numId w:val="0"/>
        </w:numPr>
        <w:spacing w:before="36" w:after="36"/>
        <w:ind w:leftChars="0"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报告对比：检验同类型报告，一页表格式对比趋势；检查同类型报告，横向排列对比结果；</w:t>
      </w:r>
    </w:p>
    <w:p w14:paraId="7A85A245">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医嘱审核</w:t>
      </w:r>
    </w:p>
    <w:p w14:paraId="145F29C9">
      <w:pPr>
        <w:rPr>
          <w:rFonts w:hint="eastAsia" w:ascii="宋体" w:hAnsi="宋体" w:eastAsia="宋体" w:cs="宋体"/>
          <w:sz w:val="22"/>
          <w:szCs w:val="16"/>
          <w:highlight w:val="none"/>
        </w:rPr>
      </w:pPr>
      <w:r>
        <w:rPr>
          <w:rFonts w:hint="eastAsia" w:ascii="宋体" w:hAnsi="宋体" w:eastAsia="宋体" w:cs="宋体"/>
          <w:sz w:val="22"/>
          <w:szCs w:val="16"/>
          <w:highlight w:val="none"/>
        </w:rPr>
        <w:t>提供医嘱审核功能，支持一键批量审核；</w:t>
      </w:r>
    </w:p>
    <w:p w14:paraId="27AE4026">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危急值处理</w:t>
      </w:r>
    </w:p>
    <w:p w14:paraId="2D4055C1">
      <w:pPr>
        <w:rPr>
          <w:rFonts w:hint="eastAsia" w:ascii="宋体" w:hAnsi="宋体" w:eastAsia="宋体" w:cs="宋体"/>
          <w:sz w:val="22"/>
          <w:szCs w:val="16"/>
          <w:highlight w:val="none"/>
        </w:rPr>
      </w:pPr>
      <w:r>
        <w:rPr>
          <w:rFonts w:hint="eastAsia" w:ascii="宋体" w:hAnsi="宋体" w:eastAsia="宋体" w:cs="宋体"/>
          <w:sz w:val="22"/>
          <w:szCs w:val="16"/>
          <w:highlight w:val="none"/>
        </w:rPr>
        <w:t>支持当患者出现危急值，将会进行提醒，住院医生可对危急值进行处理，同时记录处理情况；支持查看危急值相关完整报告；</w:t>
      </w:r>
    </w:p>
    <w:p w14:paraId="0D2FD943">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住院医嘱方案处理</w:t>
      </w:r>
    </w:p>
    <w:p w14:paraId="4FD0A40A">
      <w:pPr>
        <w:rPr>
          <w:rFonts w:hint="eastAsia" w:ascii="宋体" w:hAnsi="宋体" w:eastAsia="宋体" w:cs="宋体"/>
          <w:sz w:val="22"/>
          <w:szCs w:val="16"/>
          <w:highlight w:val="none"/>
        </w:rPr>
      </w:pPr>
      <w:r>
        <w:rPr>
          <w:rFonts w:hint="eastAsia" w:ascii="宋体" w:hAnsi="宋体" w:eastAsia="宋体" w:cs="宋体"/>
          <w:sz w:val="22"/>
          <w:szCs w:val="16"/>
          <w:highlight w:val="none"/>
        </w:rPr>
        <w:t>住院医生可以新增并维护常用的住院医嘱方案；支持中药配方设置；支持导入方案；</w:t>
      </w:r>
    </w:p>
    <w:p w14:paraId="2B93847C">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护理记录查看</w:t>
      </w:r>
    </w:p>
    <w:p w14:paraId="52B4AF5F">
      <w:pPr>
        <w:rPr>
          <w:rFonts w:hint="eastAsia" w:ascii="宋体" w:hAnsi="宋体" w:eastAsia="宋体" w:cs="宋体"/>
          <w:sz w:val="22"/>
          <w:szCs w:val="16"/>
          <w:highlight w:val="none"/>
        </w:rPr>
      </w:pPr>
      <w:r>
        <w:rPr>
          <w:rFonts w:hint="eastAsia" w:ascii="宋体" w:hAnsi="宋体" w:eastAsia="宋体" w:cs="宋体"/>
          <w:sz w:val="22"/>
          <w:szCs w:val="16"/>
          <w:highlight w:val="none"/>
        </w:rPr>
        <w:t>住院医生可以查看患者的护理记录，包括体温单和护理记录单；</w:t>
      </w:r>
    </w:p>
    <w:p w14:paraId="280E91A9">
      <w:pPr>
        <w:spacing w:before="36" w:after="36"/>
        <w:ind w:firstLine="0" w:firstLineChars="0"/>
        <w:rPr>
          <w:rFonts w:hint="eastAsia" w:ascii="宋体" w:hAnsi="宋体" w:eastAsia="宋体" w:cs="宋体"/>
          <w:b/>
          <w:bCs/>
          <w:sz w:val="24"/>
          <w:szCs w:val="24"/>
          <w:highlight w:val="none"/>
        </w:rPr>
      </w:pPr>
      <w:bookmarkStart w:id="55" w:name="_Toc48142720"/>
      <w:r>
        <w:rPr>
          <w:rFonts w:hint="eastAsia" w:ascii="宋体" w:hAnsi="宋体" w:eastAsia="宋体" w:cs="宋体"/>
          <w:b/>
          <w:bCs/>
          <w:sz w:val="24"/>
          <w:szCs w:val="24"/>
          <w:highlight w:val="none"/>
        </w:rPr>
        <w:t>住院护士工作站</w:t>
      </w:r>
      <w:bookmarkEnd w:id="55"/>
    </w:p>
    <w:p w14:paraId="54B78AF4">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病人管理</w:t>
      </w:r>
    </w:p>
    <w:p w14:paraId="5314F93D">
      <w:pPr>
        <w:rPr>
          <w:rFonts w:hint="eastAsia" w:ascii="宋体" w:hAnsi="宋体" w:eastAsia="宋体" w:cs="宋体"/>
          <w:sz w:val="22"/>
          <w:szCs w:val="16"/>
          <w:highlight w:val="none"/>
        </w:rPr>
      </w:pPr>
      <w:r>
        <w:rPr>
          <w:rFonts w:hint="eastAsia" w:ascii="宋体" w:hAnsi="宋体" w:eastAsia="宋体" w:cs="宋体"/>
          <w:sz w:val="22"/>
          <w:szCs w:val="16"/>
          <w:highlight w:val="none"/>
        </w:rPr>
        <w:t>支持对患者进行入科、撤销入科、换床、转病区、预出院、出院等操作；支持对患者的医嘱进行校对、手动发送、自动发送、停止、批量停止长嘱等操作，并且对发送失败的医嘱进行记录；提供快速记账、查看记账记录、查看费用记录、销账等功能；支持对患者进行特殊标记、腕带打印、床头卡打印等操作；</w:t>
      </w:r>
    </w:p>
    <w:p w14:paraId="6F06F05C">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病人处置</w:t>
      </w:r>
    </w:p>
    <w:p w14:paraId="54D36BEB">
      <w:pPr>
        <w:widowControl w:val="0"/>
        <w:numPr>
          <w:ilvl w:val="0"/>
          <w:numId w:val="17"/>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患者列表：患者分类展示，支持对患者进行特殊标记、腕带打印、床头卡打印、换床、换病区、预出院、出院、撤销出院等操作，还支持进行新生儿登记；</w:t>
      </w:r>
    </w:p>
    <w:p w14:paraId="0DD570FB">
      <w:pPr>
        <w:widowControl w:val="0"/>
        <w:numPr>
          <w:ilvl w:val="0"/>
          <w:numId w:val="17"/>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医嘱记录：提供医嘱的校对、发送、回退、执行、计价、长期医嘱停止等功能，同时还可以进行发药查询、执行单打印、批量打印申请单等功能；</w:t>
      </w:r>
    </w:p>
    <w:p w14:paraId="5DFA2CE4">
      <w:pPr>
        <w:widowControl w:val="0"/>
        <w:numPr>
          <w:ilvl w:val="0"/>
          <w:numId w:val="17"/>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医嘱执行：包括医嘱筛选、医嘱执行、取消执行、批量执行、打印执行单等功能；</w:t>
      </w:r>
    </w:p>
    <w:p w14:paraId="3C9DDFED">
      <w:pPr>
        <w:widowControl w:val="0"/>
        <w:numPr>
          <w:ilvl w:val="0"/>
          <w:numId w:val="17"/>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护理记录：包括体温录入、病人事件录入、护理记录录入、体温单展示、护理单展示、护理单打印、护理单续打、呼吸机、起搏器使用记录、入出量提取等功能；</w:t>
      </w:r>
    </w:p>
    <w:p w14:paraId="1B94A63B">
      <w:pPr>
        <w:widowControl w:val="0"/>
        <w:numPr>
          <w:ilvl w:val="0"/>
          <w:numId w:val="17"/>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护理文书：提供护理文书书写、住院病历查看等功能；</w:t>
      </w:r>
    </w:p>
    <w:p w14:paraId="35F186FA">
      <w:pPr>
        <w:widowControl w:val="0"/>
        <w:numPr>
          <w:ilvl w:val="0"/>
          <w:numId w:val="17"/>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费用记录：提供费用记录清单、手动记账、引用单据结账、销账申请等功能；</w:t>
      </w:r>
    </w:p>
    <w:p w14:paraId="25FCBD03">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护理管理</w:t>
      </w:r>
    </w:p>
    <w:p w14:paraId="18390EC9">
      <w:pPr>
        <w:widowControl w:val="0"/>
        <w:numPr>
          <w:ilvl w:val="0"/>
          <w:numId w:val="0"/>
        </w:numPr>
        <w:spacing w:before="36" w:after="36"/>
        <w:ind w:leftChars="0"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批量录入：住院护士可批量录入护理信息，包括：体温单、一般护理记录单、危重护理记录单、特殊护理记录单；</w:t>
      </w:r>
    </w:p>
    <w:p w14:paraId="1345835C">
      <w:pPr>
        <w:widowControl w:val="0"/>
        <w:numPr>
          <w:ilvl w:val="0"/>
          <w:numId w:val="0"/>
        </w:numPr>
        <w:spacing w:before="36" w:after="36"/>
        <w:ind w:leftChars="0"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入出量记录：支持住院护士查看住院病人入出量信息，支持手动新增入出量结果，支持导入医嘱自动生成入出量结果；</w:t>
      </w:r>
    </w:p>
    <w:p w14:paraId="1A109360">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费用管理</w:t>
      </w:r>
    </w:p>
    <w:p w14:paraId="7BF6ADDE">
      <w:pPr>
        <w:widowControl w:val="0"/>
        <w:numPr>
          <w:ilvl w:val="0"/>
          <w:numId w:val="1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持续记账：为住院护士提供持续记账功能，支持根据医嘱自动生成记账明细，支持根据实际情况完善记账信息；</w:t>
      </w:r>
    </w:p>
    <w:p w14:paraId="5D2D89C7">
      <w:pPr>
        <w:widowControl w:val="0"/>
        <w:numPr>
          <w:ilvl w:val="0"/>
          <w:numId w:val="1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销账审核：有权限的住院护士可在销账审核处查看其他人提交的销账申请，并进行审核，支持单个审核、批量审核，支持查询审核记录；</w:t>
      </w:r>
    </w:p>
    <w:p w14:paraId="18B829D7">
      <w:pPr>
        <w:widowControl w:val="0"/>
        <w:numPr>
          <w:ilvl w:val="0"/>
          <w:numId w:val="1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一日清单：为住院护士提供所有在院病人的一日费用清单，支持自定义查询，支持预览，支持单人打印、批量打印；</w:t>
      </w:r>
    </w:p>
    <w:p w14:paraId="48026EA7">
      <w:pPr>
        <w:widowControl w:val="0"/>
        <w:numPr>
          <w:ilvl w:val="0"/>
          <w:numId w:val="1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催款单：住院护士可查询所以欠款病人的欠款信息，支持生成并导出excel，支持在线预览催款单，支持单人打印、批量打印；</w:t>
      </w:r>
    </w:p>
    <w:p w14:paraId="5B058AD2">
      <w:pPr>
        <w:widowControl w:val="0"/>
        <w:numPr>
          <w:ilvl w:val="0"/>
          <w:numId w:val="1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批量预结：调用医保接口进行医保病人预结算，自动计算各帐户结算的金额以及医保可报销的金额，支持批量预结算；</w:t>
      </w:r>
    </w:p>
    <w:p w14:paraId="55912416">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医嘱单</w:t>
      </w:r>
    </w:p>
    <w:p w14:paraId="7831F782">
      <w:pPr>
        <w:rPr>
          <w:rFonts w:hint="eastAsia" w:ascii="宋体" w:hAnsi="宋体" w:eastAsia="宋体" w:cs="宋体"/>
          <w:sz w:val="22"/>
          <w:szCs w:val="16"/>
          <w:highlight w:val="none"/>
        </w:rPr>
      </w:pPr>
      <w:r>
        <w:rPr>
          <w:rFonts w:hint="eastAsia" w:ascii="宋体" w:hAnsi="宋体" w:eastAsia="宋体" w:cs="宋体"/>
          <w:sz w:val="22"/>
          <w:szCs w:val="16"/>
          <w:highlight w:val="none"/>
        </w:rPr>
        <w:t>支持打印临嘱、长嘱，提供连续打印、重新打印、停嘱打印、清除重打等功能；</w:t>
      </w:r>
    </w:p>
    <w:p w14:paraId="4BE3C2BC">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检验采集</w:t>
      </w:r>
    </w:p>
    <w:p w14:paraId="4584743D">
      <w:pPr>
        <w:rPr>
          <w:rFonts w:hint="eastAsia" w:ascii="宋体" w:hAnsi="宋体" w:eastAsia="宋体" w:cs="宋体"/>
          <w:sz w:val="22"/>
          <w:szCs w:val="16"/>
          <w:highlight w:val="none"/>
        </w:rPr>
      </w:pPr>
      <w:r>
        <w:rPr>
          <w:rFonts w:hint="eastAsia" w:ascii="宋体" w:hAnsi="宋体" w:eastAsia="宋体" w:cs="宋体"/>
          <w:sz w:val="22"/>
          <w:szCs w:val="16"/>
          <w:highlight w:val="none"/>
        </w:rPr>
        <w:t>可完成住院病人检验标本采集并登记，并同步信息到检验科室；</w:t>
      </w:r>
    </w:p>
    <w:p w14:paraId="45C3F1F1">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发药查询</w:t>
      </w:r>
    </w:p>
    <w:p w14:paraId="761FBDB3">
      <w:pPr>
        <w:rPr>
          <w:rFonts w:hint="eastAsia" w:ascii="宋体" w:hAnsi="宋体" w:eastAsia="宋体" w:cs="宋体"/>
          <w:sz w:val="22"/>
          <w:szCs w:val="16"/>
          <w:highlight w:val="none"/>
        </w:rPr>
      </w:pPr>
      <w:r>
        <w:rPr>
          <w:rFonts w:hint="eastAsia" w:ascii="宋体" w:hAnsi="宋体" w:eastAsia="宋体" w:cs="宋体"/>
          <w:sz w:val="22"/>
          <w:szCs w:val="16"/>
          <w:highlight w:val="none"/>
        </w:rPr>
        <w:t>可进行药品发送的明细查询；</w:t>
      </w:r>
    </w:p>
    <w:p w14:paraId="1A29BBDB">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临床路径管理</w:t>
      </w:r>
    </w:p>
    <w:p w14:paraId="18C086A8">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路径管理</w:t>
      </w:r>
    </w:p>
    <w:p w14:paraId="18090531">
      <w:pPr>
        <w:rPr>
          <w:rFonts w:hint="eastAsia" w:ascii="宋体" w:hAnsi="宋体" w:eastAsia="宋体" w:cs="宋体"/>
          <w:sz w:val="22"/>
          <w:szCs w:val="16"/>
          <w:highlight w:val="none"/>
        </w:rPr>
      </w:pPr>
      <w:r>
        <w:rPr>
          <w:rFonts w:hint="eastAsia" w:ascii="宋体" w:hAnsi="宋体" w:eastAsia="宋体" w:cs="宋体"/>
          <w:sz w:val="22"/>
          <w:szCs w:val="16"/>
          <w:highlight w:val="none"/>
        </w:rPr>
        <w:t>支持临床路径信息的维护，包含路径的新增、修改、删除、停用的管理。</w:t>
      </w:r>
    </w:p>
    <w:p w14:paraId="7279D29E">
      <w:pPr>
        <w:widowControl w:val="0"/>
        <w:numPr>
          <w:ilvl w:val="0"/>
          <w:numId w:val="1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路径表单设计：提供临床路径表单定制功能，表单支持循环路径、跳转路径、分支路径等多种路径的设计。包含对各时间阶段设置、阶段费用设置、对各阶段设置用于阶段评估的指标，辅助医生判断病人是否变异，可影响下一阶段的路径项目生成。支持阶段分支设置。支持路径项目设置并与医嘱项目/病历对应，支持持标准住院日及标准住院费用设计（超过设置费用给予提示，过程中进行费用控制）等。</w:t>
      </w:r>
    </w:p>
    <w:p w14:paraId="5BC0C1D5">
      <w:pPr>
        <w:widowControl w:val="0"/>
        <w:numPr>
          <w:ilvl w:val="0"/>
          <w:numId w:val="1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出径登记表：支持出径登记表设置，实现对患者的出径管理。</w:t>
      </w:r>
    </w:p>
    <w:p w14:paraId="5DF9D61E">
      <w:pPr>
        <w:widowControl w:val="0"/>
        <w:numPr>
          <w:ilvl w:val="0"/>
          <w:numId w:val="1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临床路径患者告知单：支持临床路径患者告知单设置，支持应用过程中，对告知单进行打印。</w:t>
      </w:r>
    </w:p>
    <w:p w14:paraId="648FA846">
      <w:pPr>
        <w:spacing w:before="36" w:after="36"/>
        <w:ind w:firstLine="0" w:firstLineChars="0"/>
        <w:rPr>
          <w:rFonts w:hint="eastAsia" w:ascii="宋体" w:hAnsi="宋体" w:eastAsia="宋体" w:cs="宋体"/>
          <w:b/>
          <w:bCs/>
          <w:sz w:val="22"/>
          <w:szCs w:val="16"/>
          <w:highlight w:val="none"/>
        </w:rPr>
      </w:pPr>
      <w:r>
        <w:rPr>
          <w:rFonts w:hint="eastAsia" w:ascii="宋体" w:hAnsi="宋体" w:eastAsia="宋体" w:cs="宋体"/>
          <w:b/>
          <w:bCs/>
          <w:sz w:val="22"/>
          <w:szCs w:val="16"/>
          <w:highlight w:val="none"/>
        </w:rPr>
        <w:t>路径应用</w:t>
      </w:r>
    </w:p>
    <w:p w14:paraId="18B711CD">
      <w:pPr>
        <w:widowControl w:val="0"/>
        <w:numPr>
          <w:ilvl w:val="0"/>
          <w:numId w:val="0"/>
        </w:numPr>
        <w:spacing w:before="36" w:after="36"/>
        <w:ind w:leftChars="0"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住院医生站应用：支持住院医生站内，对路径的使用，包括从入径、项目生成、执行、评估、出径，全流程管理；包括支持根据诊断自动提示进入临床路径。根据路径表单自动生成每天的路径项目，支持路径项目批量执行。根据导入的路径自动生成相应路径内容，免去重复下达医嘱、书写病历的麻烦。支持对路径的进入、阶段情况进行评估，以确认是否可以进入下一阶段。支持住院中途进入路径，可根据病人实际病情对路径进行必要的调整与变更。提供统计分析功能（入径率、变动分析等），分析变异原因。</w:t>
      </w:r>
    </w:p>
    <w:p w14:paraId="64FDB3BD">
      <w:pPr>
        <w:widowControl w:val="0"/>
        <w:numPr>
          <w:ilvl w:val="0"/>
          <w:numId w:val="0"/>
        </w:numPr>
        <w:spacing w:before="36" w:after="36"/>
        <w:ind w:leftChars="0"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住院护士站应用：需支持住院护士站内，对临床路径的使用。包括项目生成、执行、出径、打印医师路径单、患者告知单等。方便护士根据临床路径执行病人的治疗计划，并及时记录病人的健康状态。</w:t>
      </w:r>
    </w:p>
    <w:p w14:paraId="01AD792E">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路径跟踪查询</w:t>
      </w:r>
    </w:p>
    <w:p w14:paraId="57357B6E">
      <w:pPr>
        <w:widowControl w:val="0"/>
        <w:numPr>
          <w:ilvl w:val="0"/>
          <w:numId w:val="0"/>
        </w:numPr>
        <w:spacing w:before="36" w:after="36"/>
        <w:ind w:leftChars="0"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病人路径跟踪：支持入径日期、入院日期、出院日期、状态、科室、患者姓名、是否变异等维度对病人路径的跟踪查看。</w:t>
      </w:r>
    </w:p>
    <w:p w14:paraId="02C8D9FC">
      <w:pPr>
        <w:widowControl w:val="0"/>
        <w:numPr>
          <w:ilvl w:val="0"/>
          <w:numId w:val="0"/>
        </w:numPr>
        <w:spacing w:before="36" w:after="36"/>
        <w:ind w:leftChars="0"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变异路径查询：实现对变异路径情况、变异原因查询。</w:t>
      </w:r>
    </w:p>
    <w:p w14:paraId="7387C127">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路径统计分析</w:t>
      </w:r>
    </w:p>
    <w:p w14:paraId="67C5269A">
      <w:pPr>
        <w:widowControl w:val="0"/>
        <w:numPr>
          <w:ilvl w:val="0"/>
          <w:numId w:val="0"/>
        </w:numPr>
        <w:spacing w:before="36" w:after="36"/>
        <w:ind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整体应用分析：支持从完成情况趋势、平均住院日情况、次均总费用情况、科室变异例数、变异类型分布等维度实现对临床路径整体应用情况的统计分析。</w:t>
      </w:r>
    </w:p>
    <w:p w14:paraId="7E4FA3A8">
      <w:pPr>
        <w:widowControl w:val="0"/>
        <w:numPr>
          <w:ilvl w:val="0"/>
          <w:numId w:val="0"/>
        </w:numPr>
        <w:spacing w:before="36" w:after="36"/>
        <w:ind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完成情况统计：实现对临床路径出院病人完成情况的统计，包含：入径率、完成率、变异率、变异退出率、出院者占总床日数、平均住院日、次均总费用等。</w:t>
      </w:r>
    </w:p>
    <w:p w14:paraId="7EAEE4D9">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手术安排及费用</w:t>
      </w:r>
    </w:p>
    <w:p w14:paraId="69937269">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手术安排及费用首页</w:t>
      </w:r>
    </w:p>
    <w:p w14:paraId="38AA0E16">
      <w:pPr>
        <w:rPr>
          <w:rFonts w:hint="eastAsia" w:ascii="宋体" w:hAnsi="宋体" w:eastAsia="宋体" w:cs="宋体"/>
          <w:sz w:val="22"/>
          <w:szCs w:val="16"/>
          <w:highlight w:val="none"/>
        </w:rPr>
      </w:pPr>
      <w:r>
        <w:rPr>
          <w:rFonts w:hint="eastAsia" w:ascii="宋体" w:hAnsi="宋体" w:eastAsia="宋体" w:cs="宋体"/>
          <w:sz w:val="22"/>
          <w:szCs w:val="16"/>
          <w:highlight w:val="none"/>
        </w:rPr>
        <w:t>提供预约手术、安排手术、取消手术、完成手术、急诊手术、择期手术等统计及快捷跳转。支持手术名称排名、麻醉方式排名、手术级别占比、主导医生手术排名、手术费用占比等的数据分析并支持关键数据快捷跳转。</w:t>
      </w:r>
    </w:p>
    <w:p w14:paraId="4F54B57B">
      <w:pPr>
        <w:spacing w:before="36" w:after="36"/>
        <w:ind w:firstLine="0" w:firstLineChars="0"/>
        <w:rPr>
          <w:rFonts w:hint="eastAsia" w:ascii="宋体" w:hAnsi="宋体" w:eastAsia="宋体" w:cs="宋体"/>
          <w:b/>
          <w:bCs/>
          <w:sz w:val="24"/>
          <w:szCs w:val="24"/>
          <w:highlight w:val="none"/>
          <w:vertAlign w:val="baseline"/>
        </w:rPr>
      </w:pPr>
      <w:r>
        <w:rPr>
          <w:rFonts w:hint="eastAsia" w:ascii="宋体" w:hAnsi="宋体" w:eastAsia="宋体" w:cs="宋体"/>
          <w:b/>
          <w:bCs/>
          <w:sz w:val="24"/>
          <w:szCs w:val="24"/>
          <w:highlight w:val="none"/>
          <w:vertAlign w:val="baseline"/>
        </w:rPr>
        <w:t>手术安排</w:t>
      </w:r>
    </w:p>
    <w:p w14:paraId="2DFBF56D">
      <w:pPr>
        <w:rPr>
          <w:rFonts w:hint="eastAsia" w:ascii="宋体" w:hAnsi="宋体" w:eastAsia="宋体" w:cs="宋体"/>
          <w:sz w:val="22"/>
          <w:szCs w:val="16"/>
          <w:highlight w:val="none"/>
        </w:rPr>
      </w:pPr>
      <w:r>
        <w:rPr>
          <w:rFonts w:hint="eastAsia" w:ascii="宋体" w:hAnsi="宋体" w:eastAsia="宋体" w:cs="宋体"/>
          <w:sz w:val="22"/>
          <w:szCs w:val="16"/>
          <w:highlight w:val="none"/>
        </w:rPr>
        <w:t>需支持自动接收临床科室的手术申请，生成病人手术列表。可通过手术信息管理对病人进行手术进行仔细安排。</w:t>
      </w:r>
    </w:p>
    <w:p w14:paraId="52F211A2">
      <w:pPr>
        <w:rPr>
          <w:rFonts w:hint="eastAsia" w:ascii="宋体" w:hAnsi="宋体" w:eastAsia="宋体" w:cs="宋体"/>
          <w:sz w:val="22"/>
          <w:szCs w:val="16"/>
          <w:highlight w:val="none"/>
        </w:rPr>
      </w:pPr>
      <w:r>
        <w:rPr>
          <w:rFonts w:hint="eastAsia" w:ascii="宋体" w:hAnsi="宋体" w:eastAsia="宋体" w:cs="宋体"/>
          <w:sz w:val="22"/>
          <w:szCs w:val="16"/>
          <w:highlight w:val="none"/>
        </w:rPr>
        <w:t>需支持对病人的基本信息、科室来源、申请医生、申请时间。支持对手术紧急程度进行管理，包括紧急手术优先处理；支持查看病人EMR。支持手术间信息及安排明细显示。</w:t>
      </w:r>
    </w:p>
    <w:p w14:paraId="42BE7292">
      <w:pPr>
        <w:rPr>
          <w:rFonts w:hint="eastAsia" w:ascii="宋体" w:hAnsi="宋体" w:eastAsia="宋体" w:cs="宋体"/>
          <w:sz w:val="22"/>
          <w:szCs w:val="16"/>
          <w:highlight w:val="none"/>
        </w:rPr>
      </w:pPr>
      <w:r>
        <w:rPr>
          <w:rFonts w:hint="eastAsia" w:ascii="宋体" w:hAnsi="宋体" w:eastAsia="宋体" w:cs="宋体"/>
          <w:sz w:val="22"/>
          <w:szCs w:val="16"/>
          <w:highlight w:val="none"/>
        </w:rPr>
        <w:t>需提供已安排手术列表查询，支持手术日期、手术间、主刀医生、麻醉医生、是否择期、是否急诊、是否安排、是否完成等维度进行查询。当未进行手术前支持对手术安排进行修改、撤销等操作。支持打印排班表、手术通知单。</w:t>
      </w:r>
    </w:p>
    <w:p w14:paraId="72942DE4">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手术记录</w:t>
      </w:r>
    </w:p>
    <w:p w14:paraId="5AAE2CF5">
      <w:pPr>
        <w:rPr>
          <w:rFonts w:hint="eastAsia" w:ascii="宋体" w:hAnsi="宋体" w:eastAsia="宋体" w:cs="宋体"/>
          <w:sz w:val="22"/>
          <w:szCs w:val="16"/>
          <w:highlight w:val="none"/>
        </w:rPr>
      </w:pPr>
      <w:r>
        <w:rPr>
          <w:rFonts w:hint="eastAsia" w:ascii="宋体" w:hAnsi="宋体" w:eastAsia="宋体" w:cs="宋体"/>
          <w:sz w:val="22"/>
          <w:szCs w:val="16"/>
          <w:highlight w:val="none"/>
        </w:rPr>
        <w:t>对手术情况进行记录，记录手术开始时间、结束时间、愈合等级、手术部位、手术体位等。同时支持对手术进行NNIS分级标记、ASA分级标记。支持手术参与人员记录。</w:t>
      </w:r>
    </w:p>
    <w:p w14:paraId="4300AC83">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手术文书</w:t>
      </w:r>
    </w:p>
    <w:p w14:paraId="44EF4DD5">
      <w:pPr>
        <w:rPr>
          <w:rFonts w:hint="eastAsia" w:ascii="宋体" w:hAnsi="宋体" w:eastAsia="宋体" w:cs="宋体"/>
          <w:sz w:val="22"/>
          <w:szCs w:val="16"/>
          <w:highlight w:val="none"/>
        </w:rPr>
      </w:pPr>
      <w:r>
        <w:rPr>
          <w:rFonts w:hint="eastAsia" w:ascii="宋体" w:hAnsi="宋体" w:eastAsia="宋体" w:cs="宋体"/>
          <w:sz w:val="22"/>
          <w:szCs w:val="16"/>
          <w:highlight w:val="none"/>
        </w:rPr>
        <w:t>支持手术文书查看、打印、续打、浏览病程记录等。仅可书写病历性质为“手麻”的病历。</w:t>
      </w:r>
    </w:p>
    <w:p w14:paraId="6A80F494">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医嘱</w:t>
      </w:r>
    </w:p>
    <w:p w14:paraId="5BB4BDA2">
      <w:pPr>
        <w:rPr>
          <w:rFonts w:hint="eastAsia" w:ascii="宋体" w:hAnsi="宋体" w:eastAsia="宋体" w:cs="宋体"/>
          <w:sz w:val="22"/>
          <w:szCs w:val="16"/>
          <w:highlight w:val="none"/>
        </w:rPr>
      </w:pPr>
      <w:r>
        <w:rPr>
          <w:rFonts w:hint="eastAsia" w:ascii="宋体" w:hAnsi="宋体" w:eastAsia="宋体" w:cs="宋体"/>
          <w:sz w:val="22"/>
          <w:szCs w:val="16"/>
          <w:highlight w:val="none"/>
        </w:rPr>
        <w:t>支持在住院医生站中对病人进行医嘱编辑和全部医嘱查看。</w:t>
      </w:r>
    </w:p>
    <w:p w14:paraId="1534D560">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手术费用</w:t>
      </w:r>
    </w:p>
    <w:p w14:paraId="68C9E575">
      <w:pPr>
        <w:rPr>
          <w:rFonts w:hint="eastAsia" w:ascii="宋体" w:hAnsi="宋体" w:eastAsia="宋体" w:cs="宋体"/>
          <w:sz w:val="22"/>
          <w:szCs w:val="16"/>
          <w:highlight w:val="none"/>
        </w:rPr>
      </w:pPr>
      <w:r>
        <w:rPr>
          <w:rFonts w:hint="eastAsia" w:ascii="宋体" w:hAnsi="宋体" w:eastAsia="宋体" w:cs="宋体"/>
          <w:sz w:val="22"/>
          <w:szCs w:val="16"/>
          <w:highlight w:val="none"/>
        </w:rPr>
        <w:t>支持在手术过程中浏览费用记录。支持手术过程中记账，支持手术费用的修改、销账。</w:t>
      </w:r>
    </w:p>
    <w:p w14:paraId="6FBD7BAE">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综合查询</w:t>
      </w:r>
    </w:p>
    <w:p w14:paraId="5A7252C0">
      <w:pPr>
        <w:rPr>
          <w:rFonts w:hint="eastAsia" w:ascii="宋体" w:hAnsi="宋体" w:eastAsia="宋体" w:cs="宋体"/>
          <w:sz w:val="22"/>
          <w:szCs w:val="16"/>
          <w:highlight w:val="none"/>
        </w:rPr>
      </w:pPr>
      <w:r>
        <w:rPr>
          <w:rFonts w:hint="eastAsia" w:ascii="宋体" w:hAnsi="宋体" w:eastAsia="宋体" w:cs="宋体"/>
          <w:sz w:val="22"/>
          <w:szCs w:val="16"/>
          <w:highlight w:val="none"/>
        </w:rPr>
        <w:t>提供手术安排的综合查询列表的功能。支持查询日期、患者科室、患者、性别、申请科室、手术状态、手术时限、手术级别、切口等级、手术名称、麻醉方式、主导医生、麻醉医师等多维度查询。</w:t>
      </w:r>
    </w:p>
    <w:p w14:paraId="4523463C">
      <w:pPr>
        <w:numPr>
          <w:ilvl w:val="4"/>
          <w:numId w:val="0"/>
        </w:numPr>
        <w:spacing w:before="120" w:after="120"/>
        <w:jc w:val="both"/>
        <w:rPr>
          <w:rFonts w:hint="eastAsia" w:ascii="宋体" w:hAnsi="宋体" w:eastAsia="宋体" w:cs="宋体"/>
          <w:sz w:val="24"/>
          <w:szCs w:val="24"/>
          <w:highlight w:val="none"/>
        </w:rPr>
      </w:pPr>
      <w:bookmarkStart w:id="56" w:name="_Toc48142721"/>
      <w:bookmarkStart w:id="57" w:name="_Toc43368488"/>
      <w:bookmarkStart w:id="58" w:name="_Toc20117"/>
      <w:r>
        <w:rPr>
          <w:rFonts w:hint="eastAsia" w:ascii="宋体" w:hAnsi="宋体" w:eastAsia="宋体" w:cs="宋体"/>
          <w:sz w:val="24"/>
          <w:szCs w:val="24"/>
          <w:highlight w:val="none"/>
        </w:rPr>
        <w:t>药品</w:t>
      </w:r>
      <w:bookmarkEnd w:id="56"/>
      <w:bookmarkEnd w:id="57"/>
      <w:r>
        <w:rPr>
          <w:rFonts w:hint="eastAsia" w:ascii="宋体" w:hAnsi="宋体" w:eastAsia="宋体" w:cs="宋体"/>
          <w:sz w:val="24"/>
          <w:szCs w:val="24"/>
          <w:highlight w:val="none"/>
        </w:rPr>
        <w:t>卫材管理</w:t>
      </w:r>
      <w:bookmarkEnd w:id="58"/>
    </w:p>
    <w:p w14:paraId="33A3285B">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药库管理</w:t>
      </w:r>
    </w:p>
    <w:p w14:paraId="7013B4C6">
      <w:pPr>
        <w:widowControl w:val="0"/>
        <w:numPr>
          <w:ilvl w:val="0"/>
          <w:numId w:val="2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药品计划：支持手动生成、自动生成药品计划；支持编制周计划、月度计划、季度计划、年度计划；支持药品计划记录的查询、审核、删除以及打印等。</w:t>
      </w:r>
    </w:p>
    <w:p w14:paraId="5DDC0AD5">
      <w:pPr>
        <w:widowControl w:val="0"/>
        <w:numPr>
          <w:ilvl w:val="0"/>
          <w:numId w:val="2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外购入库：支持手动新增入库，按照采购计划入库到不同库房，内置供应商名单，支持选择供应商；支持查询外购入库记录；支持打印入库单据；支持按照单据进行入库药品冲销；</w:t>
      </w:r>
    </w:p>
    <w:p w14:paraId="007497F9">
      <w:pPr>
        <w:widowControl w:val="0"/>
        <w:numPr>
          <w:ilvl w:val="0"/>
          <w:numId w:val="2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药品申领：药品查询、药品选择；支持根据药品批次申请；支持根据库存限制申领；支持查询申领记录；支持打印申领单据；</w:t>
      </w:r>
    </w:p>
    <w:p w14:paraId="2FA8F2D2">
      <w:pPr>
        <w:widowControl w:val="0"/>
        <w:numPr>
          <w:ilvl w:val="0"/>
          <w:numId w:val="2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药品领用：药品查询、药品选择；支持直接新增领用登记；</w:t>
      </w:r>
    </w:p>
    <w:p w14:paraId="2F895D85">
      <w:pPr>
        <w:widowControl w:val="0"/>
        <w:numPr>
          <w:ilvl w:val="0"/>
          <w:numId w:val="2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药品调拨：支持辖区内不同机构不同库房的药品调拨；</w:t>
      </w:r>
    </w:p>
    <w:p w14:paraId="2648D4D3">
      <w:pPr>
        <w:widowControl w:val="0"/>
        <w:numPr>
          <w:ilvl w:val="0"/>
          <w:numId w:val="2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药品移库：支持同一机构不同库房的药品调拨；</w:t>
      </w:r>
    </w:p>
    <w:p w14:paraId="36B79D81">
      <w:pPr>
        <w:widowControl w:val="0"/>
        <w:numPr>
          <w:ilvl w:val="0"/>
          <w:numId w:val="2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药品盘点：支持根据多个维度的盘点规则，自由组合成上百余种盘点方案。当出现实际盘点结果与系统中出现差异，系统将自动进行校对。当支持盘点作废，支持打印盘点结果；</w:t>
      </w:r>
    </w:p>
    <w:p w14:paraId="77B6D7D4">
      <w:pPr>
        <w:widowControl w:val="0"/>
        <w:numPr>
          <w:ilvl w:val="0"/>
          <w:numId w:val="2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库存查询：支持分库房、分类型、分基药等条件查询；提供库存警戒、失效药品、药品费用总账、药品记录明细等查询功能；</w:t>
      </w:r>
    </w:p>
    <w:p w14:paraId="3D13D9F1">
      <w:pPr>
        <w:widowControl w:val="0"/>
        <w:numPr>
          <w:ilvl w:val="0"/>
          <w:numId w:val="2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其他入库/出库：支持初始入库、捐赠入库、调拨入库、盘盈入库等多种入库方式，支持毁损出库、盘亏出库、初始出库等多种出库方式；</w:t>
      </w:r>
    </w:p>
    <w:p w14:paraId="5C5C23A6">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药房管理</w:t>
      </w:r>
    </w:p>
    <w:p w14:paraId="259653B3">
      <w:pPr>
        <w:widowControl w:val="0"/>
        <w:numPr>
          <w:ilvl w:val="0"/>
          <w:numId w:val="0"/>
        </w:numPr>
        <w:spacing w:before="36" w:after="36"/>
        <w:ind w:leftChars="0"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处方发药：支持自动加载已缴费、未发药处方清单；支持刷身份证、医保卡、健康卡快速定位病人；支持处方明细、处方签两种视图；支持查看已发放记录；支持退药、退料登记；</w:t>
      </w:r>
    </w:p>
    <w:p w14:paraId="081B2FFD">
      <w:pPr>
        <w:widowControl w:val="0"/>
        <w:numPr>
          <w:ilvl w:val="0"/>
          <w:numId w:val="0"/>
        </w:numPr>
        <w:spacing w:before="36" w:after="36"/>
        <w:ind w:leftChars="0"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部门发药：支持根据不同住院部门发药；支持自定义发药方案；支持引用发药方案快速配药；支持单个发药、批量发药；支持根据中药单据发药；支持西药未发药汇总统计；支持查看西药已发放清单；支持退药、退药审核。</w:t>
      </w:r>
    </w:p>
    <w:p w14:paraId="7FE17E01">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卫生材料管理</w:t>
      </w:r>
    </w:p>
    <w:p w14:paraId="73E8F257">
      <w:pPr>
        <w:rPr>
          <w:rFonts w:hint="eastAsia" w:ascii="宋体" w:hAnsi="宋体" w:eastAsia="宋体" w:cs="宋体"/>
          <w:sz w:val="22"/>
          <w:szCs w:val="16"/>
          <w:highlight w:val="none"/>
        </w:rPr>
      </w:pPr>
      <w:r>
        <w:rPr>
          <w:rFonts w:hint="eastAsia" w:ascii="宋体" w:hAnsi="宋体" w:eastAsia="宋体" w:cs="宋体"/>
          <w:sz w:val="22"/>
          <w:szCs w:val="16"/>
          <w:highlight w:val="none"/>
        </w:rPr>
        <w:t>支持卫生材料单独发放；支持自动加载未发料清单；支持批量发料；支持已发料汇总统计；支持已发料记录查看；支持退料登记；</w:t>
      </w:r>
    </w:p>
    <w:p w14:paraId="5406FE9E">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抗菌药物管理</w:t>
      </w:r>
    </w:p>
    <w:p w14:paraId="13D1A986">
      <w:pPr>
        <w:widowControl w:val="0"/>
        <w:numPr>
          <w:ilvl w:val="0"/>
          <w:numId w:val="2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用药权限：抗菌药物权限分级控制：非限制使用、限制使用、特殊使用；支持配置全院医生抗菌药物用药权限；支持门诊、住院分别设置权限；内置抗菌药物使用标准，支持根据医生职称自动生成用药权限；支持个性化调整权限；</w:t>
      </w:r>
    </w:p>
    <w:p w14:paraId="1F32CFA0">
      <w:pPr>
        <w:widowControl w:val="0"/>
        <w:numPr>
          <w:ilvl w:val="0"/>
          <w:numId w:val="2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用药审核：支持无权限医生发起抗菌药物申请；支持高职称医生进行用药审核；支持查看已审核记录；</w:t>
      </w:r>
    </w:p>
    <w:p w14:paraId="00543B0B">
      <w:pPr>
        <w:widowControl w:val="0"/>
        <w:numPr>
          <w:ilvl w:val="0"/>
          <w:numId w:val="2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用药分析：支持抗菌药用药统计分析，包括：用药趋势图、科室用药分布、门诊住院用药比例、医生用药TOP5等；支持抗菌药使用率查询；支持抗菌药用药明细查询；</w:t>
      </w:r>
    </w:p>
    <w:p w14:paraId="10C60CED">
      <w:pPr>
        <w:numPr>
          <w:ilvl w:val="4"/>
          <w:numId w:val="0"/>
        </w:numPr>
        <w:spacing w:before="120" w:after="120"/>
        <w:jc w:val="both"/>
        <w:rPr>
          <w:rFonts w:hint="eastAsia" w:ascii="宋体" w:hAnsi="宋体" w:eastAsia="宋体" w:cs="宋体"/>
          <w:b/>
          <w:bCs/>
          <w:sz w:val="24"/>
          <w:szCs w:val="24"/>
          <w:highlight w:val="none"/>
        </w:rPr>
      </w:pPr>
      <w:bookmarkStart w:id="59" w:name="_Toc43368489"/>
      <w:bookmarkStart w:id="60" w:name="_Toc48142727"/>
      <w:bookmarkStart w:id="61" w:name="_Toc22410"/>
      <w:r>
        <w:rPr>
          <w:rFonts w:hint="eastAsia" w:ascii="宋体" w:hAnsi="宋体" w:eastAsia="宋体" w:cs="宋体"/>
          <w:b/>
          <w:bCs/>
          <w:sz w:val="24"/>
          <w:szCs w:val="24"/>
          <w:highlight w:val="none"/>
        </w:rPr>
        <w:t>电子病历</w:t>
      </w:r>
      <w:bookmarkEnd w:id="59"/>
      <w:bookmarkEnd w:id="60"/>
      <w:r>
        <w:rPr>
          <w:rFonts w:hint="eastAsia" w:ascii="宋体" w:hAnsi="宋体" w:eastAsia="宋体" w:cs="宋体"/>
          <w:b/>
          <w:bCs/>
          <w:sz w:val="24"/>
          <w:szCs w:val="24"/>
          <w:highlight w:val="none"/>
        </w:rPr>
        <w:t>管理</w:t>
      </w:r>
      <w:bookmarkEnd w:id="61"/>
    </w:p>
    <w:p w14:paraId="3A539E08">
      <w:pPr>
        <w:rPr>
          <w:rFonts w:hint="eastAsia" w:ascii="宋体" w:hAnsi="宋体" w:eastAsia="宋体" w:cs="宋体"/>
          <w:sz w:val="22"/>
          <w:szCs w:val="16"/>
          <w:highlight w:val="none"/>
        </w:rPr>
      </w:pPr>
      <w:r>
        <w:rPr>
          <w:rFonts w:hint="eastAsia" w:ascii="宋体" w:hAnsi="宋体" w:eastAsia="宋体" w:cs="宋体"/>
          <w:sz w:val="22"/>
          <w:szCs w:val="16"/>
          <w:highlight w:val="none"/>
        </w:rPr>
        <w:t>系统需遵循《病历书写基本规范》，包括病历文书、门诊病历、住院病历、护理病历、电子病历浏览器、电子病历质控等功能，具体如下：</w:t>
      </w:r>
    </w:p>
    <w:p w14:paraId="4CB5823A">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病历文书</w:t>
      </w:r>
    </w:p>
    <w:p w14:paraId="6F9BD2CE">
      <w:pPr>
        <w:rPr>
          <w:rFonts w:hint="eastAsia" w:ascii="宋体" w:hAnsi="宋体" w:eastAsia="宋体" w:cs="宋体"/>
          <w:sz w:val="22"/>
          <w:szCs w:val="16"/>
          <w:highlight w:val="none"/>
        </w:rPr>
      </w:pPr>
      <w:r>
        <w:rPr>
          <w:rFonts w:hint="eastAsia" w:ascii="宋体" w:hAnsi="宋体" w:eastAsia="宋体" w:cs="宋体"/>
          <w:sz w:val="22"/>
          <w:szCs w:val="16"/>
          <w:highlight w:val="none"/>
        </w:rPr>
        <w:t>支持根据不同业务场景，配备不同病历文书，包括门诊病历、住院病历、护理病历、知情同意书、诊疗文书、其他文书；</w:t>
      </w:r>
    </w:p>
    <w:p w14:paraId="341D46D2">
      <w:pPr>
        <w:rPr>
          <w:rFonts w:hint="eastAsia" w:ascii="宋体" w:hAnsi="宋体" w:eastAsia="宋体" w:cs="宋体"/>
          <w:sz w:val="22"/>
          <w:szCs w:val="16"/>
          <w:highlight w:val="none"/>
        </w:rPr>
      </w:pPr>
      <w:r>
        <w:rPr>
          <w:rFonts w:hint="eastAsia" w:ascii="宋体" w:hAnsi="宋体" w:eastAsia="宋体" w:cs="宋体"/>
          <w:sz w:val="22"/>
          <w:szCs w:val="16"/>
          <w:highlight w:val="none"/>
        </w:rPr>
        <w:t>病历配置：支持电子病历基础配置功能，包括：元素管理、词句管理、提纲管理、原型管理、原型设计等功能。</w:t>
      </w:r>
    </w:p>
    <w:p w14:paraId="5085B4DE">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门诊病历</w:t>
      </w:r>
    </w:p>
    <w:p w14:paraId="5ED6506F">
      <w:pPr>
        <w:widowControl w:val="0"/>
        <w:numPr>
          <w:ilvl w:val="0"/>
          <w:numId w:val="2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书写任务：系统根据提前定义好的业务事件规则自动生成文书任务，可指定书写时限，提醒书写，包括入院、手术、麻醉、输血、病危、特殊检查、特殊检验、转科、传染病、出院、死亡等多种业务。</w:t>
      </w:r>
    </w:p>
    <w:p w14:paraId="069326AB">
      <w:pPr>
        <w:widowControl w:val="0"/>
        <w:numPr>
          <w:ilvl w:val="0"/>
          <w:numId w:val="2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便捷引用：为了更方便医生书写病历，系统需提供便捷引用的功能，包括检查结果插入、医嘱插入、范文导入、检验结果插入、恒牙符号插入、乳牙符号插入、月经史插入、医学符号插入、批注插入、特殊符号插入、危急值插入、医嘱插入等。</w:t>
      </w:r>
    </w:p>
    <w:p w14:paraId="086B4D3E">
      <w:pPr>
        <w:widowControl w:val="0"/>
        <w:numPr>
          <w:ilvl w:val="0"/>
          <w:numId w:val="2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值域校验：提供值域校验功能，当病历内容出现明显错误，系统进行实时校验，然后书写界面将会直接进行显著提醒。</w:t>
      </w:r>
    </w:p>
    <w:p w14:paraId="1CE37C24">
      <w:pPr>
        <w:widowControl w:val="0"/>
        <w:numPr>
          <w:ilvl w:val="0"/>
          <w:numId w:val="2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多场景提醒：提供多场景提醒功能，包括书写提醒、保存提醒、单独提醒；</w:t>
      </w:r>
    </w:p>
    <w:p w14:paraId="6EE034D6">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住院病历</w:t>
      </w:r>
    </w:p>
    <w:p w14:paraId="18731F20">
      <w:pPr>
        <w:widowControl w:val="0"/>
        <w:numPr>
          <w:ilvl w:val="0"/>
          <w:numId w:val="2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书写任务：系统根据提前定义好的业务事件规则自动生成文书任务，可指定书写时限，提醒书写，包括入院、手术、麻醉、输血、病危、特殊检查、特殊检验、转科、传染病、出院、死亡等多种业务。</w:t>
      </w:r>
    </w:p>
    <w:p w14:paraId="306FEAD3">
      <w:pPr>
        <w:widowControl w:val="0"/>
        <w:numPr>
          <w:ilvl w:val="0"/>
          <w:numId w:val="2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便捷引用：为了更方便医生书写病历，系统需提供便捷引用的功能，包括检查结果插入、医嘱插入、范文导入、检验结果插入、恒牙符号插入、乳牙符号插入、月经史插入、医学符号插入、批注插入、特殊符号插入、危急值插入、医嘱插入等。</w:t>
      </w:r>
    </w:p>
    <w:p w14:paraId="679411C6">
      <w:pPr>
        <w:widowControl w:val="0"/>
        <w:numPr>
          <w:ilvl w:val="0"/>
          <w:numId w:val="2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值域校验：提供值域校验功能，当病历内容出现明显错误，系统进行实时校验，然后书写界面将会直接进行显著提醒。</w:t>
      </w:r>
    </w:p>
    <w:p w14:paraId="342140F9">
      <w:pPr>
        <w:widowControl w:val="0"/>
        <w:numPr>
          <w:ilvl w:val="0"/>
          <w:numId w:val="2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多场景提醒：提供多场景提醒功能，包括书写提醒、保存提醒、单独提醒；</w:t>
      </w:r>
    </w:p>
    <w:p w14:paraId="3E71FFBA">
      <w:pPr>
        <w:spacing w:before="36" w:after="36"/>
        <w:ind w:firstLine="0" w:firstLineChars="0"/>
        <w:rPr>
          <w:rFonts w:hint="eastAsia" w:ascii="宋体" w:hAnsi="宋体" w:eastAsia="宋体" w:cs="宋体"/>
          <w:b/>
          <w:bCs/>
          <w:sz w:val="24"/>
          <w:szCs w:val="24"/>
          <w:highlight w:val="none"/>
        </w:rPr>
      </w:pPr>
      <w:bookmarkStart w:id="62" w:name="_Toc48142730"/>
      <w:r>
        <w:rPr>
          <w:rFonts w:hint="eastAsia" w:ascii="宋体" w:hAnsi="宋体" w:eastAsia="宋体" w:cs="宋体"/>
          <w:b/>
          <w:bCs/>
          <w:sz w:val="24"/>
          <w:szCs w:val="24"/>
          <w:highlight w:val="none"/>
        </w:rPr>
        <w:t>护理病历</w:t>
      </w:r>
      <w:bookmarkEnd w:id="62"/>
    </w:p>
    <w:p w14:paraId="18FBB24C">
      <w:pPr>
        <w:widowControl w:val="0"/>
        <w:numPr>
          <w:ilvl w:val="0"/>
          <w:numId w:val="0"/>
        </w:numPr>
        <w:spacing w:before="36" w:after="36"/>
        <w:ind w:leftChars="0"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护理记录：包括体温录入、病人事件录入、护理记录录入、体温单展示、护理单展示、护理单打印、护理单续打、呼吸机、起搏器使用记录、入出量提取等功能；</w:t>
      </w:r>
    </w:p>
    <w:p w14:paraId="6F33D687">
      <w:pPr>
        <w:widowControl w:val="0"/>
        <w:numPr>
          <w:ilvl w:val="0"/>
          <w:numId w:val="0"/>
        </w:numPr>
        <w:spacing w:before="36" w:after="36"/>
        <w:ind w:leftChars="0" w:firstLine="440" w:firstLineChars="20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护理文书：提供护理文书书写、住院病历查看等功能；</w:t>
      </w:r>
    </w:p>
    <w:p w14:paraId="793749A9">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电子病历浏览器</w:t>
      </w:r>
    </w:p>
    <w:p w14:paraId="79892AC8">
      <w:pPr>
        <w:rPr>
          <w:rFonts w:hint="eastAsia" w:ascii="宋体" w:hAnsi="宋体" w:eastAsia="宋体" w:cs="宋体"/>
          <w:sz w:val="22"/>
          <w:szCs w:val="16"/>
          <w:highlight w:val="none"/>
        </w:rPr>
      </w:pPr>
      <w:r>
        <w:rPr>
          <w:rFonts w:hint="eastAsia" w:ascii="宋体" w:hAnsi="宋体" w:eastAsia="宋体" w:cs="宋体"/>
          <w:sz w:val="22"/>
          <w:szCs w:val="16"/>
          <w:highlight w:val="none"/>
        </w:rPr>
        <w:t>支持查看病人的基本信息、诊断信息、病历列表、处方信息、检查单及异常结果、检验单及异常结果。支持在院病人体温单、电子病历、长期医嘱、临时医嘱、检查、检验等相关信息查看。查看留痕，支持查看访问者所在机构、访问者、访问时间。</w:t>
      </w:r>
    </w:p>
    <w:p w14:paraId="1C024933">
      <w:pPr>
        <w:rPr>
          <w:rFonts w:hint="eastAsia" w:ascii="宋体" w:hAnsi="宋体" w:eastAsia="宋体" w:cs="宋体"/>
          <w:sz w:val="22"/>
          <w:szCs w:val="16"/>
          <w:highlight w:val="none"/>
        </w:rPr>
      </w:pPr>
      <w:r>
        <w:rPr>
          <w:rFonts w:hint="eastAsia" w:ascii="宋体" w:hAnsi="宋体" w:eastAsia="宋体" w:cs="宋体"/>
          <w:sz w:val="22"/>
          <w:szCs w:val="16"/>
          <w:highlight w:val="none"/>
        </w:rPr>
        <w:t>支持电子病历水印保护，浏览内容上有水印，水印包括浏览者所在机构、浏览者姓名、浏览者时间，拍照或者截图会包含这些信息。</w:t>
      </w:r>
    </w:p>
    <w:p w14:paraId="4FACD518">
      <w:pPr>
        <w:spacing w:before="36" w:after="36"/>
        <w:ind w:firstLine="0" w:firstLineChars="0"/>
        <w:rPr>
          <w:rFonts w:hint="eastAsia" w:ascii="宋体" w:hAnsi="宋体" w:eastAsia="宋体" w:cs="宋体"/>
          <w:b/>
          <w:bCs/>
          <w:sz w:val="24"/>
          <w:szCs w:val="24"/>
          <w:highlight w:val="none"/>
        </w:rPr>
      </w:pPr>
      <w:bookmarkStart w:id="63" w:name="_Toc48142731"/>
      <w:r>
        <w:rPr>
          <w:rFonts w:hint="eastAsia" w:ascii="宋体" w:hAnsi="宋体" w:eastAsia="宋体" w:cs="宋体"/>
          <w:b/>
          <w:bCs/>
          <w:sz w:val="24"/>
          <w:szCs w:val="24"/>
          <w:highlight w:val="none"/>
        </w:rPr>
        <w:t>电子病历质控管理</w:t>
      </w:r>
      <w:bookmarkEnd w:id="63"/>
    </w:p>
    <w:p w14:paraId="6E9AA543">
      <w:pPr>
        <w:rPr>
          <w:rFonts w:hint="eastAsia" w:ascii="宋体" w:hAnsi="宋体" w:eastAsia="宋体" w:cs="宋体"/>
          <w:sz w:val="22"/>
          <w:szCs w:val="16"/>
          <w:highlight w:val="none"/>
        </w:rPr>
      </w:pPr>
      <w:r>
        <w:rPr>
          <w:rFonts w:hint="eastAsia" w:ascii="宋体" w:hAnsi="宋体" w:eastAsia="宋体" w:cs="宋体"/>
          <w:sz w:val="22"/>
          <w:szCs w:val="16"/>
          <w:highlight w:val="none"/>
        </w:rPr>
        <w:t>系统需实现“医生书写质控”，“运行质控”、“科内质控”、“终末质控”、“抽查质控”等功能，通过完善严密的消息反馈机制实现各临床诊疗工作站与本系统之间的实时互动，针对病历文书内容进行检测，自动提醒缺陷及说明，并自动评分评级，供临床医生、质控人员参考，实现对电子病历质量的整体控制。</w:t>
      </w:r>
    </w:p>
    <w:p w14:paraId="5C283A3F">
      <w:pPr>
        <w:rPr>
          <w:rFonts w:hint="eastAsia" w:ascii="宋体" w:hAnsi="宋体" w:eastAsia="宋体" w:cs="宋体"/>
          <w:sz w:val="22"/>
          <w:szCs w:val="16"/>
          <w:highlight w:val="none"/>
        </w:rPr>
      </w:pPr>
      <w:r>
        <w:rPr>
          <w:rFonts w:hint="eastAsia" w:ascii="宋体" w:hAnsi="宋体" w:eastAsia="宋体" w:cs="宋体"/>
          <w:sz w:val="22"/>
          <w:szCs w:val="16"/>
          <w:highlight w:val="none"/>
        </w:rPr>
        <w:t>产品功能需包括：医生书写质控、运行质控、科内质控、终末质控、抽查质控、质控分析、质控规则管理等。</w:t>
      </w:r>
    </w:p>
    <w:p w14:paraId="6628BE0A">
      <w:pPr>
        <w:widowControl w:val="0"/>
        <w:numPr>
          <w:ilvl w:val="0"/>
          <w:numId w:val="2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医生书写质控：提供医生书写界面提示，系统自动检查发现的病历质量问题。提供院内医务科或质控专员查询运行病历质控的列表的功能。支持系统自动对书写不合格或者没有达标的病历进行质控。并支持质控人员对患者病历的审核操作。</w:t>
      </w:r>
    </w:p>
    <w:p w14:paraId="7DD75560">
      <w:pPr>
        <w:widowControl w:val="0"/>
        <w:numPr>
          <w:ilvl w:val="0"/>
          <w:numId w:val="2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科内质控：提供科内质控人员查询科内质控患者列表的功能，支持质控人员对患者病历的集中浏览、实现病历审核、添加及移除违反规则、违反规则明细、并发送质控消息的功能。</w:t>
      </w:r>
    </w:p>
    <w:p w14:paraId="052916E4">
      <w:pPr>
        <w:widowControl w:val="0"/>
        <w:numPr>
          <w:ilvl w:val="0"/>
          <w:numId w:val="2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终末质控：提供病历质控员查询终末质控患者列表的功能，并支持对出院患者病历集中浏览、实现病历审核、添加及移除违反规则、违反规则明细、并发送质控消息的功能；</w:t>
      </w:r>
    </w:p>
    <w:p w14:paraId="78E8353D">
      <w:pPr>
        <w:widowControl w:val="0"/>
        <w:numPr>
          <w:ilvl w:val="0"/>
          <w:numId w:val="2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抽查质控：支持对已归档病历设置抽查条件的随机抽查质控。</w:t>
      </w:r>
    </w:p>
    <w:p w14:paraId="59B6F710">
      <w:pPr>
        <w:widowControl w:val="0"/>
        <w:numPr>
          <w:ilvl w:val="0"/>
          <w:numId w:val="2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质控分析：提供科室及全院的电子病历质控分析。</w:t>
      </w:r>
    </w:p>
    <w:p w14:paraId="3ECA1AD3">
      <w:pPr>
        <w:widowControl w:val="0"/>
        <w:numPr>
          <w:ilvl w:val="0"/>
          <w:numId w:val="2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质控规则管理：支持质控规则、方案规则的管理等。</w:t>
      </w:r>
    </w:p>
    <w:p w14:paraId="06DFB52A">
      <w:pPr>
        <w:numPr>
          <w:ilvl w:val="4"/>
          <w:numId w:val="0"/>
        </w:numPr>
        <w:spacing w:before="120" w:after="120"/>
        <w:jc w:val="both"/>
        <w:rPr>
          <w:rFonts w:hint="eastAsia" w:ascii="宋体" w:hAnsi="宋体" w:eastAsia="宋体" w:cs="宋体"/>
          <w:b/>
          <w:bCs/>
          <w:sz w:val="24"/>
          <w:szCs w:val="24"/>
          <w:highlight w:val="none"/>
        </w:rPr>
      </w:pPr>
      <w:bookmarkStart w:id="64" w:name="_Toc48142732"/>
      <w:bookmarkStart w:id="65" w:name="_Toc43368490"/>
      <w:bookmarkStart w:id="66" w:name="_Toc25549"/>
      <w:r>
        <w:rPr>
          <w:rFonts w:hint="eastAsia" w:ascii="宋体" w:hAnsi="宋体" w:eastAsia="宋体" w:cs="宋体"/>
          <w:b/>
          <w:bCs/>
          <w:sz w:val="24"/>
          <w:szCs w:val="24"/>
          <w:highlight w:val="none"/>
        </w:rPr>
        <w:t>病案管理</w:t>
      </w:r>
      <w:bookmarkEnd w:id="64"/>
      <w:bookmarkEnd w:id="65"/>
      <w:bookmarkEnd w:id="66"/>
    </w:p>
    <w:p w14:paraId="02EEB929">
      <w:pPr>
        <w:rPr>
          <w:rFonts w:hint="eastAsia" w:ascii="宋体" w:hAnsi="宋体" w:eastAsia="宋体" w:cs="宋体"/>
          <w:sz w:val="22"/>
          <w:szCs w:val="16"/>
          <w:highlight w:val="none"/>
        </w:rPr>
      </w:pPr>
      <w:r>
        <w:rPr>
          <w:rFonts w:hint="eastAsia" w:ascii="宋体" w:hAnsi="宋体" w:eastAsia="宋体" w:cs="宋体"/>
          <w:sz w:val="22"/>
          <w:szCs w:val="16"/>
          <w:highlight w:val="none"/>
        </w:rPr>
        <w:t>病案管理主要是对已出院病人的病案，通过病案管理进行分类、建档，从而达到科学的管理。</w:t>
      </w:r>
    </w:p>
    <w:p w14:paraId="202A0167">
      <w:pPr>
        <w:widowControl w:val="0"/>
        <w:numPr>
          <w:ilvl w:val="0"/>
          <w:numId w:val="25"/>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归档管理：支持病案归档管理，包括对病案进行回收（支持出院日期、出院科室、关键字搜索等维度进行病案查询，选定运送人对病案进行回收操作）、取消回收、编目（对已经回收的病案进行编目处理）、修改编目、取消编目、上架、取消上架等操作。支持出院日期、编目日期、出院科室、责任医生、病案状态、关键字搜索等维度进行病案查询。同时，支持对病案示踪，能在示踪轴上查看病案完整的流转过程。对首页质控结果进行智能监控详情展示、人工质控详情展示。</w:t>
      </w:r>
    </w:p>
    <w:p w14:paraId="67DC4605">
      <w:pPr>
        <w:widowControl w:val="0"/>
        <w:numPr>
          <w:ilvl w:val="0"/>
          <w:numId w:val="25"/>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首页质控：病案首页质控实现包括内容和管理的质控。</w:t>
      </w:r>
    </w:p>
    <w:p w14:paraId="01AABDD9">
      <w:pPr>
        <w:widowControl w:val="0"/>
        <w:numPr>
          <w:ilvl w:val="0"/>
          <w:numId w:val="25"/>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调阅管理：支持病案调阅管理，支持通过申请日期、状态、申请人查询病案，并对病案做调阅授权管理。</w:t>
      </w:r>
    </w:p>
    <w:p w14:paraId="1161026D">
      <w:pPr>
        <w:widowControl w:val="0"/>
        <w:numPr>
          <w:ilvl w:val="0"/>
          <w:numId w:val="25"/>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借阅管理：需支持对病案借阅管理，包括查询借阅情况、借阅登记、归还登记等操作。</w:t>
      </w:r>
    </w:p>
    <w:p w14:paraId="725C3AED">
      <w:pPr>
        <w:widowControl w:val="0"/>
        <w:numPr>
          <w:ilvl w:val="0"/>
          <w:numId w:val="25"/>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上报管理：支持上报系统的新增、修改和删除。支持与上报系统进行编码对照，包括对码情况查询、导入对码项目、自动对码等操作。支持对上报数据进行管理，包括导出上报数据、新增上报项目、上报指标、修改上报项目、上报指标等操作。</w:t>
      </w:r>
    </w:p>
    <w:p w14:paraId="1FEC3426">
      <w:pPr>
        <w:numPr>
          <w:ilvl w:val="4"/>
          <w:numId w:val="0"/>
        </w:numPr>
        <w:spacing w:before="120" w:after="120"/>
        <w:jc w:val="both"/>
        <w:rPr>
          <w:rFonts w:hint="eastAsia" w:ascii="宋体" w:hAnsi="宋体" w:eastAsia="宋体" w:cs="宋体"/>
          <w:b/>
          <w:bCs/>
          <w:sz w:val="24"/>
          <w:szCs w:val="24"/>
          <w:highlight w:val="none"/>
        </w:rPr>
      </w:pPr>
      <w:bookmarkStart w:id="67" w:name="_Toc24266"/>
      <w:r>
        <w:rPr>
          <w:rFonts w:hint="eastAsia" w:ascii="宋体" w:hAnsi="宋体" w:eastAsia="宋体" w:cs="宋体"/>
          <w:b/>
          <w:bCs/>
          <w:sz w:val="24"/>
          <w:szCs w:val="24"/>
          <w:highlight w:val="none"/>
        </w:rPr>
        <w:t>一卡通</w:t>
      </w:r>
      <w:bookmarkEnd w:id="67"/>
    </w:p>
    <w:p w14:paraId="1FCBE1EE">
      <w:pPr>
        <w:rPr>
          <w:rFonts w:hint="eastAsia" w:ascii="宋体" w:hAnsi="宋体" w:eastAsia="宋体" w:cs="宋体"/>
          <w:sz w:val="22"/>
          <w:szCs w:val="16"/>
          <w:highlight w:val="none"/>
        </w:rPr>
      </w:pPr>
      <w:r>
        <w:rPr>
          <w:rFonts w:hint="eastAsia" w:ascii="宋体" w:hAnsi="宋体" w:eastAsia="宋体" w:cs="宋体"/>
          <w:sz w:val="22"/>
          <w:szCs w:val="16"/>
          <w:highlight w:val="none"/>
        </w:rPr>
        <w:t>支持区域内所有机构统一管理也支持单家医院管理；支持定义两种类型卡片：身份识别卡、支付卡；持一人一卡、一人多卡；支持多种费用策略进行选择；支持定义发票打印方式；</w:t>
      </w:r>
    </w:p>
    <w:p w14:paraId="7874793A">
      <w:pPr>
        <w:numPr>
          <w:ilvl w:val="4"/>
          <w:numId w:val="0"/>
        </w:numPr>
        <w:spacing w:before="120" w:after="120"/>
        <w:jc w:val="both"/>
        <w:rPr>
          <w:rFonts w:hint="eastAsia" w:ascii="宋体" w:hAnsi="宋体" w:eastAsia="宋体" w:cs="宋体"/>
          <w:sz w:val="24"/>
          <w:szCs w:val="24"/>
          <w:highlight w:val="none"/>
        </w:rPr>
      </w:pPr>
      <w:bookmarkStart w:id="68" w:name="_Toc3829"/>
      <w:r>
        <w:rPr>
          <w:rFonts w:hint="eastAsia" w:ascii="宋体" w:hAnsi="宋体" w:eastAsia="宋体" w:cs="宋体"/>
          <w:sz w:val="24"/>
          <w:szCs w:val="24"/>
          <w:highlight w:val="none"/>
        </w:rPr>
        <w:t>不良事件上报</w:t>
      </w:r>
      <w:bookmarkEnd w:id="68"/>
    </w:p>
    <w:p w14:paraId="26B036DC">
      <w:pPr>
        <w:widowControl w:val="0"/>
        <w:numPr>
          <w:ilvl w:val="0"/>
          <w:numId w:val="26"/>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不良事件填报：支持对不良事件的填报，对不良事件的全流程进行记录，支持包括患者信息、不良事件情况、事件相关信息、事件发生后及时处理分析、报告/当事人信息等的填报。</w:t>
      </w:r>
    </w:p>
    <w:p w14:paraId="1161A362">
      <w:pPr>
        <w:widowControl w:val="0"/>
        <w:numPr>
          <w:ilvl w:val="0"/>
          <w:numId w:val="26"/>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不良事件管理：对医疗过程中的不良事件进行管理。</w:t>
      </w:r>
    </w:p>
    <w:p w14:paraId="0000456C">
      <w:pPr>
        <w:widowControl w:val="0"/>
        <w:numPr>
          <w:ilvl w:val="0"/>
          <w:numId w:val="26"/>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不良事件统计：通过统计分析功能，支持对不良事件按照统计范围、事件类型等维度进行统计数据的查看。</w:t>
      </w:r>
    </w:p>
    <w:p w14:paraId="4D7FEAC2">
      <w:pPr>
        <w:widowControl w:val="0"/>
        <w:numPr>
          <w:ilvl w:val="0"/>
          <w:numId w:val="26"/>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不良事件查询：支持多维度对不良事件进行查询，同时支持word、excel等形式导出和报告打印。</w:t>
      </w:r>
    </w:p>
    <w:p w14:paraId="1538FBE8">
      <w:pPr>
        <w:widowControl w:val="0"/>
        <w:numPr>
          <w:ilvl w:val="0"/>
          <w:numId w:val="26"/>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基础配置：支持对事件类型、事件指标、基础数据的管理。</w:t>
      </w:r>
    </w:p>
    <w:p w14:paraId="11C0C8B3">
      <w:pPr>
        <w:numPr>
          <w:ilvl w:val="4"/>
          <w:numId w:val="0"/>
        </w:numPr>
        <w:spacing w:before="120" w:after="120"/>
        <w:jc w:val="both"/>
        <w:rPr>
          <w:rFonts w:hint="eastAsia" w:ascii="宋体" w:hAnsi="宋体" w:eastAsia="宋体" w:cs="宋体"/>
          <w:sz w:val="24"/>
          <w:szCs w:val="24"/>
          <w:highlight w:val="none"/>
        </w:rPr>
      </w:pPr>
      <w:bookmarkStart w:id="69" w:name="_Toc22978"/>
      <w:r>
        <w:rPr>
          <w:rFonts w:hint="eastAsia" w:ascii="宋体" w:hAnsi="宋体" w:eastAsia="宋体" w:cs="宋体"/>
          <w:sz w:val="24"/>
          <w:szCs w:val="24"/>
          <w:highlight w:val="none"/>
        </w:rPr>
        <w:t>传染病上报</w:t>
      </w:r>
      <w:bookmarkEnd w:id="69"/>
    </w:p>
    <w:p w14:paraId="62CF8298">
      <w:pPr>
        <w:widowControl w:val="0"/>
        <w:numPr>
          <w:ilvl w:val="0"/>
          <w:numId w:val="27"/>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传染病填卡记录：支持按状态、日期范围、类型、传染病名称等方式对填报记录进行搜索查看，支持对填报记录的操作记录进行查看。并支持对传染病智能监测，根据检测到的异常指标，进行传染病填卡操作。</w:t>
      </w:r>
    </w:p>
    <w:p w14:paraId="6093D193">
      <w:pPr>
        <w:widowControl w:val="0"/>
        <w:numPr>
          <w:ilvl w:val="0"/>
          <w:numId w:val="27"/>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传染病上报管理：支持传染病上报管理，支持多维度的上报记录查询。</w:t>
      </w:r>
    </w:p>
    <w:p w14:paraId="7705983B">
      <w:pPr>
        <w:widowControl w:val="0"/>
        <w:numPr>
          <w:ilvl w:val="0"/>
          <w:numId w:val="27"/>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填卡规则配置：支持传染病填卡规则配置，包括新增上报疾病、报告卡预览、判断规则新增和编辑、上报疾病的导入/导出等。</w:t>
      </w:r>
    </w:p>
    <w:p w14:paraId="76A3C64B">
      <w:pPr>
        <w:numPr>
          <w:ilvl w:val="4"/>
          <w:numId w:val="0"/>
        </w:numPr>
        <w:spacing w:before="120" w:after="120"/>
        <w:jc w:val="both"/>
        <w:rPr>
          <w:rFonts w:hint="eastAsia" w:ascii="宋体" w:hAnsi="宋体" w:eastAsia="宋体" w:cs="宋体"/>
          <w:b/>
          <w:bCs/>
          <w:sz w:val="24"/>
          <w:szCs w:val="24"/>
          <w:highlight w:val="none"/>
        </w:rPr>
      </w:pPr>
      <w:bookmarkStart w:id="70" w:name="_Toc27483"/>
      <w:r>
        <w:rPr>
          <w:rFonts w:hint="eastAsia" w:ascii="宋体" w:hAnsi="宋体" w:eastAsia="宋体" w:cs="宋体"/>
          <w:b/>
          <w:bCs/>
          <w:sz w:val="24"/>
          <w:szCs w:val="24"/>
          <w:highlight w:val="none"/>
        </w:rPr>
        <w:t>医技服务</w:t>
      </w:r>
      <w:bookmarkEnd w:id="70"/>
    </w:p>
    <w:p w14:paraId="36CC933F">
      <w:pPr>
        <w:spacing w:before="36" w:after="36"/>
        <w:ind w:firstLine="0" w:firstLineChars="0"/>
        <w:rPr>
          <w:rFonts w:hint="eastAsia" w:ascii="宋体" w:hAnsi="宋体" w:eastAsia="宋体" w:cs="宋体"/>
          <w:b/>
          <w:bCs/>
          <w:sz w:val="22"/>
          <w:szCs w:val="16"/>
          <w:highlight w:val="none"/>
        </w:rPr>
      </w:pPr>
      <w:bookmarkStart w:id="71" w:name="_Toc5316"/>
      <w:r>
        <w:rPr>
          <w:rFonts w:hint="eastAsia" w:ascii="宋体" w:hAnsi="宋体" w:eastAsia="宋体" w:cs="宋体"/>
          <w:b/>
          <w:bCs/>
          <w:sz w:val="22"/>
          <w:szCs w:val="16"/>
          <w:highlight w:val="none"/>
        </w:rPr>
        <w:t>临床检验</w:t>
      </w:r>
      <w:bookmarkEnd w:id="71"/>
    </w:p>
    <w:p w14:paraId="29E08B25">
      <w:pPr>
        <w:widowControl w:val="0"/>
        <w:numPr>
          <w:ilvl w:val="0"/>
          <w:numId w:val="2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质控管理：针对质控品、质控仪器、质控规则的统一管理。</w:t>
      </w:r>
    </w:p>
    <w:p w14:paraId="59CE7EE3">
      <w:pPr>
        <w:widowControl w:val="0"/>
        <w:numPr>
          <w:ilvl w:val="0"/>
          <w:numId w:val="2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标本流向：追踪单个标本流向，实现标本全生命周期正反向追溯；</w:t>
      </w:r>
    </w:p>
    <w:p w14:paraId="4B796C1D">
      <w:pPr>
        <w:widowControl w:val="0"/>
        <w:numPr>
          <w:ilvl w:val="0"/>
          <w:numId w:val="2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采集工作站：实现标本采集、登记、新增检验申请等。</w:t>
      </w:r>
    </w:p>
    <w:p w14:paraId="0F62FAC1">
      <w:pPr>
        <w:widowControl w:val="0"/>
        <w:numPr>
          <w:ilvl w:val="0"/>
          <w:numId w:val="2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技师工作站：支持临床、医技一体化应用，自动获取检验结果与报告，并支持院内、院外检验业务、标本流向追踪等。</w:t>
      </w:r>
    </w:p>
    <w:p w14:paraId="184731FC">
      <w:pPr>
        <w:widowControl w:val="0"/>
        <w:numPr>
          <w:ilvl w:val="0"/>
          <w:numId w:val="2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签收工作站：支持标本的签收查询，签收单打印等。</w:t>
      </w:r>
    </w:p>
    <w:p w14:paraId="10A2E2E1">
      <w:pPr>
        <w:widowControl w:val="0"/>
        <w:numPr>
          <w:ilvl w:val="0"/>
          <w:numId w:val="2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外送工作站：支持标本外送及外送查询。</w:t>
      </w:r>
    </w:p>
    <w:p w14:paraId="4EC8A22F">
      <w:pPr>
        <w:widowControl w:val="0"/>
        <w:numPr>
          <w:ilvl w:val="0"/>
          <w:numId w:val="2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快速采集站：提供快速采集站，实现标本的快捷采集、批量采集、登记及条码打印。</w:t>
      </w:r>
    </w:p>
    <w:p w14:paraId="68E47588">
      <w:pPr>
        <w:widowControl w:val="0"/>
        <w:numPr>
          <w:ilvl w:val="0"/>
          <w:numId w:val="2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住院采集站：支持对住院病人进行快速采集、打印条码等操作。</w:t>
      </w:r>
    </w:p>
    <w:p w14:paraId="34515C0F">
      <w:pPr>
        <w:widowControl w:val="0"/>
        <w:numPr>
          <w:ilvl w:val="0"/>
          <w:numId w:val="28"/>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基础管理：支持对采集方式、检验项目、检验指标、检验申请单、检验仪器、审核规则、检验试管、检验标本、检验观察、检验号码、检验小组等的管理。</w:t>
      </w:r>
    </w:p>
    <w:p w14:paraId="6CF3245C">
      <w:pPr>
        <w:spacing w:before="36" w:after="36"/>
        <w:ind w:firstLine="0" w:firstLineChars="0"/>
        <w:rPr>
          <w:rFonts w:hint="eastAsia" w:ascii="宋体" w:hAnsi="宋体" w:eastAsia="宋体" w:cs="宋体"/>
          <w:b/>
          <w:bCs/>
          <w:sz w:val="24"/>
          <w:szCs w:val="24"/>
          <w:highlight w:val="none"/>
        </w:rPr>
      </w:pPr>
      <w:bookmarkStart w:id="72" w:name="_Toc8546"/>
      <w:r>
        <w:rPr>
          <w:rFonts w:hint="eastAsia" w:ascii="宋体" w:hAnsi="宋体" w:eastAsia="宋体" w:cs="宋体"/>
          <w:b/>
          <w:bCs/>
          <w:sz w:val="24"/>
          <w:szCs w:val="24"/>
          <w:highlight w:val="none"/>
        </w:rPr>
        <w:t>医学影像</w:t>
      </w:r>
      <w:bookmarkEnd w:id="72"/>
    </w:p>
    <w:p w14:paraId="196A5CF4">
      <w:pPr>
        <w:widowControl w:val="0"/>
        <w:numPr>
          <w:ilvl w:val="0"/>
          <w:numId w:val="2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典型病例管理：对典型病例的收藏和统一管理。</w:t>
      </w:r>
    </w:p>
    <w:p w14:paraId="0DFEB6C7">
      <w:pPr>
        <w:widowControl w:val="0"/>
        <w:numPr>
          <w:ilvl w:val="0"/>
          <w:numId w:val="2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登记工作站：支持与与HIS互联互通，自动获取医嘱信息并加载待登记病人列表；支持针对体检、公卫服务等情况手动登记新检查；支持查看登记列表，可查看申请单、查看报告、打印报告；支持新增或修改病人档案，并推送消息到公卫系统；</w:t>
      </w:r>
    </w:p>
    <w:p w14:paraId="4CBA93B9">
      <w:pPr>
        <w:widowControl w:val="0"/>
        <w:numPr>
          <w:ilvl w:val="0"/>
          <w:numId w:val="2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放射工作站：支持放射工作站直接进行登记、查看报告、对比报告、观片以及书写报告时的词句引用。</w:t>
      </w:r>
    </w:p>
    <w:p w14:paraId="3999C9B0">
      <w:pPr>
        <w:widowControl w:val="0"/>
        <w:numPr>
          <w:ilvl w:val="0"/>
          <w:numId w:val="2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1"/>
          <w:szCs w:val="21"/>
          <w:highlight w:val="none"/>
        </w:rPr>
        <w:t>▲</w:t>
      </w:r>
      <w:r>
        <w:rPr>
          <w:rFonts w:hint="eastAsia" w:ascii="宋体" w:hAnsi="宋体" w:eastAsia="宋体" w:cs="宋体"/>
          <w:sz w:val="22"/>
          <w:szCs w:val="16"/>
          <w:highlight w:val="none"/>
        </w:rPr>
        <w:t>超声工作站：支持对超声检查的登记、图像采集、图像处理、词句引用及历史报告对比等。</w:t>
      </w:r>
    </w:p>
    <w:p w14:paraId="1EBC6A19">
      <w:pPr>
        <w:widowControl w:val="0"/>
        <w:numPr>
          <w:ilvl w:val="0"/>
          <w:numId w:val="2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统计查询：系统提供多维度的统计查询，包括临床符合率统计、阳性率统计、申请医生工作量统计、诊断医生工作量统计、审核医生工作量统计、设备摄影量统计、图像质量统计等。</w:t>
      </w:r>
    </w:p>
    <w:p w14:paraId="035F6768">
      <w:pPr>
        <w:widowControl w:val="0"/>
        <w:numPr>
          <w:ilvl w:val="0"/>
          <w:numId w:val="29"/>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基础管理：支持检查项目、设备目录、检查号码、检查诊室、报告词句、检查部位、检查模板、报告提纲等的管理。</w:t>
      </w:r>
    </w:p>
    <w:p w14:paraId="4F47A5DE">
      <w:pPr>
        <w:spacing w:before="36" w:after="36"/>
        <w:ind w:firstLine="0" w:firstLineChars="0"/>
        <w:rPr>
          <w:rFonts w:hint="eastAsia" w:ascii="宋体" w:hAnsi="宋体" w:eastAsia="宋体" w:cs="宋体"/>
          <w:b/>
          <w:bCs/>
          <w:sz w:val="24"/>
          <w:szCs w:val="24"/>
          <w:highlight w:val="none"/>
        </w:rPr>
      </w:pPr>
      <w:bookmarkStart w:id="73" w:name="_Toc13995"/>
      <w:r>
        <w:rPr>
          <w:rFonts w:hint="eastAsia" w:ascii="宋体" w:hAnsi="宋体" w:eastAsia="宋体" w:cs="宋体"/>
          <w:b/>
          <w:bCs/>
          <w:sz w:val="24"/>
          <w:szCs w:val="24"/>
          <w:highlight w:val="none"/>
        </w:rPr>
        <w:t>治疗工作站</w:t>
      </w:r>
      <w:bookmarkEnd w:id="73"/>
    </w:p>
    <w:p w14:paraId="48DF9106">
      <w:pPr>
        <w:rPr>
          <w:rFonts w:hint="eastAsia" w:ascii="宋体" w:hAnsi="宋体" w:eastAsia="宋体" w:cs="宋体"/>
          <w:sz w:val="22"/>
          <w:szCs w:val="16"/>
          <w:highlight w:val="none"/>
        </w:rPr>
      </w:pPr>
      <w:r>
        <w:rPr>
          <w:rFonts w:hint="eastAsia" w:ascii="宋体" w:hAnsi="宋体" w:eastAsia="宋体" w:cs="宋体"/>
          <w:sz w:val="22"/>
          <w:szCs w:val="16"/>
          <w:highlight w:val="none"/>
        </w:rPr>
        <w:t>支持对患者的治疗管理，包括执行任务的拆分、执行过程中病人信息的突出显示、提供治疗项目登记项模块维护及快速引用、治疗项目与登记项内容的灵活配置等。</w:t>
      </w:r>
    </w:p>
    <w:p w14:paraId="5804244C">
      <w:pPr>
        <w:numPr>
          <w:ilvl w:val="4"/>
          <w:numId w:val="0"/>
        </w:numPr>
        <w:spacing w:before="120" w:after="120"/>
        <w:jc w:val="both"/>
        <w:rPr>
          <w:rFonts w:hint="eastAsia" w:ascii="宋体" w:hAnsi="宋体" w:eastAsia="宋体" w:cs="宋体"/>
          <w:sz w:val="24"/>
          <w:szCs w:val="24"/>
          <w:highlight w:val="none"/>
        </w:rPr>
      </w:pPr>
      <w:bookmarkStart w:id="74" w:name="_Toc1111"/>
      <w:r>
        <w:rPr>
          <w:rFonts w:hint="eastAsia" w:ascii="宋体" w:hAnsi="宋体" w:eastAsia="宋体" w:cs="宋体"/>
          <w:sz w:val="24"/>
          <w:szCs w:val="24"/>
          <w:highlight w:val="none"/>
        </w:rPr>
        <w:t>运营管理</w:t>
      </w:r>
      <w:bookmarkEnd w:id="74"/>
    </w:p>
    <w:p w14:paraId="3664F399">
      <w:pPr>
        <w:spacing w:before="36" w:after="36"/>
        <w:ind w:firstLine="0" w:firstLineChars="0"/>
        <w:rPr>
          <w:rFonts w:hint="eastAsia" w:ascii="宋体" w:hAnsi="宋体" w:eastAsia="宋体" w:cs="宋体"/>
          <w:b/>
          <w:bCs/>
          <w:sz w:val="24"/>
          <w:szCs w:val="24"/>
          <w:highlight w:val="none"/>
        </w:rPr>
      </w:pPr>
      <w:bookmarkStart w:id="75" w:name="_Toc30188"/>
      <w:r>
        <w:rPr>
          <w:rFonts w:hint="eastAsia" w:ascii="宋体" w:hAnsi="宋体" w:eastAsia="宋体" w:cs="宋体"/>
          <w:b/>
          <w:bCs/>
          <w:sz w:val="24"/>
          <w:szCs w:val="24"/>
          <w:highlight w:val="none"/>
        </w:rPr>
        <w:t>财务监控</w:t>
      </w:r>
      <w:bookmarkEnd w:id="75"/>
    </w:p>
    <w:p w14:paraId="6DCB40D8">
      <w:pPr>
        <w:widowControl w:val="0"/>
        <w:numPr>
          <w:ilvl w:val="0"/>
          <w:numId w:val="3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票据管理：对收费收据、结账收据、预交收据进行入库、出库、报损管理；</w:t>
      </w:r>
    </w:p>
    <w:p w14:paraId="6AFCBC64">
      <w:pPr>
        <w:widowControl w:val="0"/>
        <w:numPr>
          <w:ilvl w:val="0"/>
          <w:numId w:val="3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票据监管：按照批次记录纸质票据、电子票据的使用记录、核对记录、报损记录；</w:t>
      </w:r>
    </w:p>
    <w:p w14:paraId="497E52F0">
      <w:pPr>
        <w:widowControl w:val="0"/>
        <w:numPr>
          <w:ilvl w:val="0"/>
          <w:numId w:val="30"/>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缴款书：提供缴款登记、缴款记录查询、打印缴款书等功能；</w:t>
      </w:r>
    </w:p>
    <w:p w14:paraId="32631F82">
      <w:pPr>
        <w:spacing w:before="36" w:after="36"/>
        <w:ind w:firstLine="0" w:firstLineChars="0"/>
        <w:rPr>
          <w:rFonts w:hint="eastAsia" w:ascii="宋体" w:hAnsi="宋体" w:eastAsia="宋体" w:cs="宋体"/>
          <w:b/>
          <w:bCs/>
          <w:sz w:val="24"/>
          <w:szCs w:val="24"/>
          <w:highlight w:val="none"/>
        </w:rPr>
      </w:pPr>
      <w:bookmarkStart w:id="76" w:name="_Toc18382"/>
      <w:r>
        <w:rPr>
          <w:rFonts w:hint="eastAsia" w:ascii="宋体" w:hAnsi="宋体" w:eastAsia="宋体" w:cs="宋体"/>
          <w:b/>
          <w:bCs/>
          <w:sz w:val="24"/>
          <w:szCs w:val="24"/>
          <w:highlight w:val="none"/>
        </w:rPr>
        <w:t>设备管理</w:t>
      </w:r>
      <w:bookmarkEnd w:id="76"/>
    </w:p>
    <w:p w14:paraId="5CD2CBCD">
      <w:pPr>
        <w:widowControl w:val="0"/>
        <w:numPr>
          <w:ilvl w:val="0"/>
          <w:numId w:val="3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基础管理：实现对设备目录、生产商、供应商等基础信息管理。</w:t>
      </w:r>
    </w:p>
    <w:p w14:paraId="5FCA18A9">
      <w:pPr>
        <w:widowControl w:val="0"/>
        <w:numPr>
          <w:ilvl w:val="0"/>
          <w:numId w:val="3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采购管理：实现对采购申请、采购计划等信息的管理。</w:t>
      </w:r>
    </w:p>
    <w:p w14:paraId="5A31473E">
      <w:pPr>
        <w:widowControl w:val="0"/>
        <w:numPr>
          <w:ilvl w:val="0"/>
          <w:numId w:val="3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库房管理：支持对设备入库、设备出库、设备领用、库存盘点、库存查询等的管理。</w:t>
      </w:r>
    </w:p>
    <w:p w14:paraId="475291FC">
      <w:pPr>
        <w:widowControl w:val="0"/>
        <w:numPr>
          <w:ilvl w:val="0"/>
          <w:numId w:val="3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设备卡片管理：记录了设备的内部调动情况，以便及时了解设备的存在和变动情况。</w:t>
      </w:r>
    </w:p>
    <w:p w14:paraId="53AA0E7B">
      <w:pPr>
        <w:widowControl w:val="0"/>
        <w:numPr>
          <w:ilvl w:val="0"/>
          <w:numId w:val="31"/>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设备使用管理：实现对科室设备查询、故障报修、设备维修、设备保养、设备检定、设备调动、设备退库、设备报废、设备工作量、设备折旧、在用设备盘点等的管理。</w:t>
      </w:r>
    </w:p>
    <w:p w14:paraId="2E828930">
      <w:pPr>
        <w:spacing w:before="36" w:after="36"/>
        <w:ind w:firstLine="0" w:firstLineChars="0"/>
        <w:rPr>
          <w:rFonts w:hint="eastAsia" w:ascii="宋体" w:hAnsi="宋体" w:eastAsia="宋体" w:cs="宋体"/>
          <w:b/>
          <w:bCs/>
          <w:sz w:val="24"/>
          <w:szCs w:val="24"/>
          <w:highlight w:val="none"/>
        </w:rPr>
      </w:pPr>
      <w:bookmarkStart w:id="77" w:name="_Toc31481"/>
      <w:r>
        <w:rPr>
          <w:rFonts w:hint="eastAsia" w:ascii="宋体" w:hAnsi="宋体" w:eastAsia="宋体" w:cs="宋体"/>
          <w:b/>
          <w:bCs/>
          <w:sz w:val="24"/>
          <w:szCs w:val="24"/>
          <w:highlight w:val="none"/>
        </w:rPr>
        <w:t>物资管理</w:t>
      </w:r>
      <w:bookmarkEnd w:id="77"/>
    </w:p>
    <w:p w14:paraId="64B19863">
      <w:pPr>
        <w:rPr>
          <w:rFonts w:hint="eastAsia" w:ascii="宋体" w:hAnsi="宋体" w:eastAsia="宋体" w:cs="宋体"/>
          <w:sz w:val="22"/>
          <w:szCs w:val="16"/>
          <w:highlight w:val="none"/>
        </w:rPr>
      </w:pPr>
      <w:r>
        <w:rPr>
          <w:rFonts w:hint="eastAsia" w:ascii="宋体" w:hAnsi="宋体" w:eastAsia="宋体" w:cs="宋体"/>
          <w:sz w:val="22"/>
          <w:szCs w:val="16"/>
          <w:highlight w:val="none"/>
        </w:rPr>
        <w:t>需开发物资管理模块，建立满足基层医疗机构物资管理管控的物资供应链体系，实现对药剂，高值耗材，低值耗材和办公用品等所有物资的采购，入库，出库，盘点，结算等流程的过程管理。需要具备的具体功能应包含：采购计划、采购入库、申领管理、核收入库、出库管理、其他入库/出库、盘点管理、月结管理、综合查询等。</w:t>
      </w:r>
    </w:p>
    <w:p w14:paraId="290AFA2C">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采购计划</w:t>
      </w:r>
    </w:p>
    <w:p w14:paraId="3B1C16C2">
      <w:pPr>
        <w:rPr>
          <w:rFonts w:hint="eastAsia" w:ascii="宋体" w:hAnsi="宋体" w:eastAsia="宋体" w:cs="宋体"/>
          <w:sz w:val="22"/>
          <w:szCs w:val="16"/>
          <w:highlight w:val="none"/>
        </w:rPr>
      </w:pPr>
      <w:r>
        <w:rPr>
          <w:rFonts w:hint="eastAsia" w:ascii="宋体" w:hAnsi="宋体" w:eastAsia="宋体" w:cs="宋体"/>
          <w:sz w:val="22"/>
          <w:szCs w:val="16"/>
          <w:highlight w:val="none"/>
        </w:rPr>
        <w:t>需具备对物资采购计划的管理功能，需支持采购计划的新增（包括库房/供应商选择、批量选择、计划数量等。）、计划记录查询（包括库房、供应商、计划日期、审核日期、物资关键字搜索等）、并支持计划编辑、审核、打印、删除等操作，单据明细查看及计划记录导出。</w:t>
      </w:r>
    </w:p>
    <w:p w14:paraId="6A5894C6">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采购入库</w:t>
      </w:r>
    </w:p>
    <w:p w14:paraId="2CB48ECB">
      <w:pPr>
        <w:rPr>
          <w:rFonts w:hint="eastAsia" w:ascii="宋体" w:hAnsi="宋体" w:eastAsia="宋体" w:cs="宋体"/>
          <w:sz w:val="22"/>
          <w:szCs w:val="16"/>
          <w:highlight w:val="none"/>
        </w:rPr>
      </w:pPr>
      <w:r>
        <w:rPr>
          <w:rFonts w:hint="eastAsia" w:ascii="宋体" w:hAnsi="宋体" w:eastAsia="宋体" w:cs="宋体"/>
          <w:sz w:val="22"/>
          <w:szCs w:val="16"/>
          <w:highlight w:val="none"/>
        </w:rPr>
        <w:t>需具备对采购的物资进行入库的功能，支持新增采购入库（包括库房/供应商选择、发票号编辑、计划单导入等）、入库记录查看及处理（包括编辑、删除、审核、预览、打印等。）。支持单据明细的查看及入库记录导出。</w:t>
      </w:r>
    </w:p>
    <w:p w14:paraId="40F6EDB2">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申领管理</w:t>
      </w:r>
    </w:p>
    <w:p w14:paraId="11ECD8D8">
      <w:pPr>
        <w:rPr>
          <w:rFonts w:hint="eastAsia" w:ascii="宋体" w:hAnsi="宋体" w:eastAsia="宋体" w:cs="宋体"/>
          <w:sz w:val="22"/>
          <w:szCs w:val="16"/>
          <w:highlight w:val="none"/>
        </w:rPr>
      </w:pPr>
      <w:r>
        <w:rPr>
          <w:rFonts w:hint="eastAsia" w:ascii="宋体" w:hAnsi="宋体" w:eastAsia="宋体" w:cs="宋体"/>
          <w:sz w:val="22"/>
          <w:szCs w:val="16"/>
          <w:highlight w:val="none"/>
        </w:rPr>
        <w:t>需具备物资申领管理功能，并支持新增申领记录（包括出库库房、申领科室、申领物资选择、数量的编辑等）、审领记录查看及处理、支持单据明细的查看及申领记录及明细导出。</w:t>
      </w:r>
    </w:p>
    <w:p w14:paraId="649B3051">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核收入库</w:t>
      </w:r>
    </w:p>
    <w:p w14:paraId="4041E7C1">
      <w:pPr>
        <w:rPr>
          <w:rFonts w:hint="eastAsia" w:ascii="宋体" w:hAnsi="宋体" w:eastAsia="宋体" w:cs="宋体"/>
          <w:sz w:val="22"/>
          <w:szCs w:val="16"/>
          <w:highlight w:val="none"/>
        </w:rPr>
      </w:pPr>
      <w:r>
        <w:rPr>
          <w:rFonts w:hint="eastAsia" w:ascii="宋体" w:hAnsi="宋体" w:eastAsia="宋体" w:cs="宋体"/>
          <w:sz w:val="22"/>
          <w:szCs w:val="16"/>
          <w:highlight w:val="none"/>
        </w:rPr>
        <w:t>需具备对物资的核收入库功能，支持核收入库查询及核收处理。支持包括入库库房、入库单号、入库日期、状态、出库库房、出库单号、物资关键字搜索等维度查询。同时，支持核收入库记录查看及处理、入库明细的查看、核收记录及核收记录明细导出。</w:t>
      </w:r>
    </w:p>
    <w:p w14:paraId="0CDDC44C">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出库管理</w:t>
      </w:r>
    </w:p>
    <w:p w14:paraId="70F7CF8E">
      <w:pPr>
        <w:rPr>
          <w:rFonts w:hint="eastAsia" w:ascii="宋体" w:hAnsi="宋体" w:eastAsia="宋体" w:cs="宋体"/>
          <w:sz w:val="22"/>
          <w:szCs w:val="16"/>
          <w:highlight w:val="none"/>
        </w:rPr>
      </w:pPr>
      <w:r>
        <w:rPr>
          <w:rFonts w:hint="eastAsia" w:ascii="宋体" w:hAnsi="宋体" w:eastAsia="宋体" w:cs="宋体"/>
          <w:sz w:val="22"/>
          <w:szCs w:val="16"/>
          <w:highlight w:val="none"/>
        </w:rPr>
        <w:t>需具备对物资的出库管理功能，支持物资新增出库及出库记录查询及处理。新增出库包括库房、领用科室、领用人选择，出库数量编辑、支持从申领单导入等。</w:t>
      </w:r>
    </w:p>
    <w:p w14:paraId="3DC810B6">
      <w:pPr>
        <w:rPr>
          <w:rFonts w:hint="eastAsia" w:ascii="宋体" w:hAnsi="宋体" w:eastAsia="宋体" w:cs="宋体"/>
          <w:sz w:val="22"/>
          <w:szCs w:val="16"/>
          <w:highlight w:val="none"/>
        </w:rPr>
      </w:pPr>
      <w:r>
        <w:rPr>
          <w:rFonts w:hint="eastAsia" w:ascii="宋体" w:hAnsi="宋体" w:eastAsia="宋体" w:cs="宋体"/>
          <w:sz w:val="22"/>
          <w:szCs w:val="16"/>
          <w:highlight w:val="none"/>
        </w:rPr>
        <w:t>支持出库记录查询及处理，支持出库库房、领用科室、出库单号、状态、出库日期、审核日期、物资关键字等维度查询。支持出库记录的查看及处理、出库记录及出库记录明细导出等。</w:t>
      </w:r>
    </w:p>
    <w:p w14:paraId="449E69BF">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其他入库/出库</w:t>
      </w:r>
    </w:p>
    <w:p w14:paraId="70E61AD2">
      <w:pPr>
        <w:rPr>
          <w:rFonts w:hint="eastAsia" w:ascii="宋体" w:hAnsi="宋体" w:eastAsia="宋体" w:cs="宋体"/>
          <w:sz w:val="22"/>
          <w:szCs w:val="16"/>
          <w:highlight w:val="none"/>
        </w:rPr>
      </w:pPr>
      <w:r>
        <w:rPr>
          <w:rFonts w:hint="eastAsia" w:ascii="宋体" w:hAnsi="宋体" w:eastAsia="宋体" w:cs="宋体"/>
          <w:sz w:val="22"/>
          <w:szCs w:val="16"/>
          <w:highlight w:val="none"/>
        </w:rPr>
        <w:t>需支持其他入库方式，如：捐赠入库、初始入库、其他等。支持其他入库的新增及入库记录查看及处理。</w:t>
      </w:r>
    </w:p>
    <w:p w14:paraId="28F4EB73">
      <w:pPr>
        <w:rPr>
          <w:rFonts w:hint="eastAsia" w:ascii="宋体" w:hAnsi="宋体" w:eastAsia="宋体" w:cs="宋体"/>
          <w:sz w:val="22"/>
          <w:szCs w:val="16"/>
          <w:highlight w:val="none"/>
        </w:rPr>
      </w:pPr>
      <w:r>
        <w:rPr>
          <w:rFonts w:hint="eastAsia" w:ascii="宋体" w:hAnsi="宋体" w:eastAsia="宋体" w:cs="宋体"/>
          <w:sz w:val="22"/>
          <w:szCs w:val="16"/>
          <w:highlight w:val="none"/>
        </w:rPr>
        <w:t>需支持其他出库方式，如：过期出库、报损出库、其他等。支持其他出库新增及出库记录查看及处理。</w:t>
      </w:r>
    </w:p>
    <w:p w14:paraId="32461D69">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盘点管理</w:t>
      </w:r>
    </w:p>
    <w:p w14:paraId="2D22C17B">
      <w:pPr>
        <w:rPr>
          <w:rFonts w:hint="eastAsia" w:ascii="宋体" w:hAnsi="宋体" w:eastAsia="宋体" w:cs="宋体"/>
          <w:sz w:val="22"/>
          <w:szCs w:val="16"/>
          <w:highlight w:val="none"/>
        </w:rPr>
      </w:pPr>
      <w:r>
        <w:rPr>
          <w:rFonts w:hint="eastAsia" w:ascii="宋体" w:hAnsi="宋体" w:eastAsia="宋体" w:cs="宋体"/>
          <w:sz w:val="22"/>
          <w:szCs w:val="16"/>
          <w:highlight w:val="none"/>
        </w:rPr>
        <w:t>需具备物资盘点管理功能，支持物资盘点管理，包括按条件提取需要盘点的物资、盘点记录的查看及处理、盘点记录及盘点记录明细导出等。</w:t>
      </w:r>
    </w:p>
    <w:p w14:paraId="594B007A">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月结管理</w:t>
      </w:r>
    </w:p>
    <w:p w14:paraId="0E9304D9">
      <w:pPr>
        <w:rPr>
          <w:rFonts w:hint="eastAsia" w:ascii="宋体" w:hAnsi="宋体" w:eastAsia="宋体" w:cs="宋体"/>
          <w:sz w:val="22"/>
          <w:szCs w:val="16"/>
          <w:highlight w:val="none"/>
        </w:rPr>
      </w:pPr>
      <w:r>
        <w:rPr>
          <w:rFonts w:hint="eastAsia" w:ascii="宋体" w:hAnsi="宋体" w:eastAsia="宋体" w:cs="宋体"/>
          <w:sz w:val="22"/>
          <w:szCs w:val="16"/>
          <w:highlight w:val="none"/>
        </w:rPr>
        <w:t>需具备物资月结管理功能，支持按库房、月结时间、状态等维度对物资进行月结，同时支持月结记录、月结记录明细导出。</w:t>
      </w:r>
    </w:p>
    <w:p w14:paraId="4AB30C50">
      <w:pPr>
        <w:spacing w:before="36" w:after="36"/>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综合查询</w:t>
      </w:r>
    </w:p>
    <w:p w14:paraId="783AFDC5">
      <w:pPr>
        <w:spacing w:before="36" w:after="36"/>
        <w:ind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需具备综合查询功能，支持对物资管理各个环节的数据查询，包含入库查询（支持入库记录及入库记录明细导出等）、出库查询（支持出库记录及出库记录明细导出等）、盘点查询（支持盘点记录及盘点记录明细导出等）、库存查询（支持库存记录及库存记录明细导出等）等。</w:t>
      </w:r>
    </w:p>
    <w:p w14:paraId="773D51AE">
      <w:pPr>
        <w:spacing w:before="36" w:after="36"/>
        <w:ind w:firstLine="0" w:firstLineChars="0"/>
        <w:rPr>
          <w:rFonts w:hint="eastAsia" w:ascii="宋体" w:hAnsi="宋体" w:eastAsia="宋体" w:cs="宋体"/>
          <w:b/>
          <w:bCs/>
          <w:sz w:val="24"/>
          <w:szCs w:val="24"/>
          <w:highlight w:val="none"/>
        </w:rPr>
      </w:pPr>
      <w:bookmarkStart w:id="78" w:name="_Toc20722"/>
      <w:r>
        <w:rPr>
          <w:rFonts w:hint="eastAsia" w:ascii="宋体" w:hAnsi="宋体" w:eastAsia="宋体" w:cs="宋体"/>
          <w:b/>
          <w:bCs/>
          <w:sz w:val="24"/>
          <w:szCs w:val="24"/>
          <w:highlight w:val="none"/>
        </w:rPr>
        <w:t>院长查询</w:t>
      </w:r>
      <w:bookmarkEnd w:id="78"/>
    </w:p>
    <w:p w14:paraId="0465F529">
      <w:pPr>
        <w:widowControl w:val="0"/>
        <w:numPr>
          <w:ilvl w:val="0"/>
          <w:numId w:val="3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提供按照医院需求个性化定制统计报表格式。</w:t>
      </w:r>
    </w:p>
    <w:p w14:paraId="08F8AD51">
      <w:pPr>
        <w:widowControl w:val="0"/>
        <w:numPr>
          <w:ilvl w:val="0"/>
          <w:numId w:val="3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提供医院资源方面的统计报表如收费项目、科室资源等。</w:t>
      </w:r>
    </w:p>
    <w:p w14:paraId="46446C51">
      <w:pPr>
        <w:widowControl w:val="0"/>
        <w:numPr>
          <w:ilvl w:val="0"/>
          <w:numId w:val="3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提供医疗经济信息方面的统计报表如全院收入、分科收入、未结费用等。</w:t>
      </w:r>
    </w:p>
    <w:p w14:paraId="48F879FF">
      <w:pPr>
        <w:widowControl w:val="0"/>
        <w:numPr>
          <w:ilvl w:val="0"/>
          <w:numId w:val="3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提供医疗动态方面的统计报表如门急诊人次、在院病人分布等。</w:t>
      </w:r>
    </w:p>
    <w:p w14:paraId="4089C740">
      <w:pPr>
        <w:widowControl w:val="0"/>
        <w:numPr>
          <w:ilvl w:val="0"/>
          <w:numId w:val="3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提供效率质量方面的统计报表如质量、工作量分析、费用分析等。</w:t>
      </w:r>
    </w:p>
    <w:p w14:paraId="17821605">
      <w:pPr>
        <w:widowControl w:val="0"/>
        <w:numPr>
          <w:ilvl w:val="0"/>
          <w:numId w:val="32"/>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提供药品、卫材方面的统计报表如用药分析、流向跟踪等。</w:t>
      </w:r>
    </w:p>
    <w:p w14:paraId="6BFCA70F">
      <w:pPr>
        <w:numPr>
          <w:ilvl w:val="4"/>
          <w:numId w:val="0"/>
        </w:numPr>
        <w:spacing w:before="120" w:after="120"/>
        <w:jc w:val="both"/>
        <w:rPr>
          <w:rFonts w:hint="eastAsia" w:ascii="宋体" w:hAnsi="宋体" w:eastAsia="宋体" w:cs="宋体"/>
          <w:b/>
          <w:bCs/>
          <w:sz w:val="24"/>
          <w:szCs w:val="24"/>
          <w:highlight w:val="none"/>
        </w:rPr>
      </w:pPr>
      <w:bookmarkStart w:id="79" w:name="_Toc10870"/>
      <w:r>
        <w:rPr>
          <w:rFonts w:hint="eastAsia" w:ascii="宋体" w:hAnsi="宋体" w:eastAsia="宋体" w:cs="宋体"/>
          <w:b/>
          <w:bCs/>
          <w:sz w:val="24"/>
          <w:szCs w:val="24"/>
          <w:highlight w:val="none"/>
        </w:rPr>
        <w:t>移动服务</w:t>
      </w:r>
      <w:bookmarkEnd w:id="79"/>
    </w:p>
    <w:p w14:paraId="15AEB87E">
      <w:pPr>
        <w:spacing w:before="36" w:after="36"/>
        <w:ind w:firstLine="0" w:firstLineChars="0"/>
        <w:rPr>
          <w:rFonts w:hint="eastAsia" w:ascii="宋体" w:hAnsi="宋体" w:eastAsia="宋体" w:cs="宋体"/>
          <w:b/>
          <w:bCs/>
          <w:sz w:val="24"/>
          <w:szCs w:val="24"/>
          <w:highlight w:val="none"/>
        </w:rPr>
      </w:pPr>
      <w:bookmarkStart w:id="80" w:name="_Toc10020"/>
      <w:r>
        <w:rPr>
          <w:rFonts w:hint="eastAsia" w:ascii="宋体" w:hAnsi="宋体" w:eastAsia="宋体" w:cs="宋体"/>
          <w:b/>
          <w:bCs/>
          <w:sz w:val="24"/>
          <w:szCs w:val="24"/>
          <w:highlight w:val="none"/>
        </w:rPr>
        <w:t>微信公众号</w:t>
      </w:r>
      <w:bookmarkEnd w:id="80"/>
    </w:p>
    <w:p w14:paraId="78BFAE36">
      <w:pPr>
        <w:rPr>
          <w:rFonts w:hint="eastAsia" w:ascii="宋体" w:hAnsi="宋体" w:eastAsia="宋体" w:cs="宋体"/>
          <w:sz w:val="22"/>
          <w:szCs w:val="16"/>
          <w:highlight w:val="none"/>
        </w:rPr>
      </w:pPr>
      <w:r>
        <w:rPr>
          <w:rFonts w:hint="eastAsia" w:ascii="宋体" w:hAnsi="宋体" w:eastAsia="宋体" w:cs="宋体"/>
          <w:sz w:val="22"/>
          <w:szCs w:val="16"/>
          <w:highlight w:val="none"/>
        </w:rPr>
        <w:t>通过公众号管理，面向公众提供健康档案查询、社区卫生相关信息查询和服务预约、家庭医生预签约服务等功能。</w:t>
      </w:r>
    </w:p>
    <w:p w14:paraId="580186DD">
      <w:pPr>
        <w:widowControl w:val="0"/>
        <w:numPr>
          <w:ilvl w:val="0"/>
          <w:numId w:val="3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电子就诊卡/电子健康卡：支持个人信息注册、生成个人电子健康卡二维码、支持扫描二维码就诊报到。</w:t>
      </w:r>
    </w:p>
    <w:p w14:paraId="3DA01B1E">
      <w:pPr>
        <w:widowControl w:val="0"/>
        <w:numPr>
          <w:ilvl w:val="0"/>
          <w:numId w:val="3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预约挂号/体检预约：提供患者预约挂号服务。支持选择挂号科室、医生、时间及时间段。支持挂号费用微信支付。支持C端预约购买体检套餐，个人预约在线可以选择一个基础体检套餐进行体检预约，可在线查询预约记录，取消预约记录等。</w:t>
      </w:r>
    </w:p>
    <w:p w14:paraId="103855EB">
      <w:pPr>
        <w:widowControl w:val="0"/>
        <w:numPr>
          <w:ilvl w:val="0"/>
          <w:numId w:val="3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门诊/住院缴费：提供患者所有待支付的订单（包括检查费、医药费、住院费）列表，用于用户线上支付订单；缴费成功通知，缴费成功后，系统将向用户发送缴费成功的通知，并向用户发送缴费信息和导诊信息；缴费退费成功，退费成功后，系统向用户发送退费成功的通知。患者可在线进行门诊押金预缴及住院押金预存。</w:t>
      </w:r>
    </w:p>
    <w:p w14:paraId="4FDFE871">
      <w:pPr>
        <w:widowControl w:val="0"/>
        <w:numPr>
          <w:ilvl w:val="0"/>
          <w:numId w:val="3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报告查询：支持患者检验、检查报告查询。</w:t>
      </w:r>
    </w:p>
    <w:p w14:paraId="2346BBE9">
      <w:pPr>
        <w:widowControl w:val="0"/>
        <w:numPr>
          <w:ilvl w:val="0"/>
          <w:numId w:val="3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健康档案查看：为患者提供个人健康档案查看功能。</w:t>
      </w:r>
    </w:p>
    <w:p w14:paraId="62A6638E">
      <w:pPr>
        <w:widowControl w:val="0"/>
        <w:numPr>
          <w:ilvl w:val="0"/>
          <w:numId w:val="3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家庭医生服务：支持选择机构、家庭医生团队、家庭医生、服务包等进行自助签约，支持家庭医生签约记录查询。</w:t>
      </w:r>
    </w:p>
    <w:p w14:paraId="487A8886">
      <w:pPr>
        <w:widowControl w:val="0"/>
        <w:numPr>
          <w:ilvl w:val="0"/>
          <w:numId w:val="3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医院介绍：支持医院介绍、科室介绍、医生介绍等内容查看。支持来院导航路线查询。支持调查问卷。</w:t>
      </w:r>
    </w:p>
    <w:p w14:paraId="6E872AD5">
      <w:pPr>
        <w:widowControl w:val="0"/>
        <w:numPr>
          <w:ilvl w:val="0"/>
          <w:numId w:val="3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公卫服务：支持查看个人公卫档案，支付公卫服务预约。</w:t>
      </w:r>
    </w:p>
    <w:p w14:paraId="65ABDD55">
      <w:pPr>
        <w:widowControl w:val="0"/>
        <w:numPr>
          <w:ilvl w:val="0"/>
          <w:numId w:val="3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消息通知：支持诊疗相关信息、公卫相关信息、其他服务消息的通知及查看。</w:t>
      </w:r>
    </w:p>
    <w:p w14:paraId="2E315484">
      <w:pPr>
        <w:widowControl w:val="0"/>
        <w:numPr>
          <w:ilvl w:val="0"/>
          <w:numId w:val="33"/>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我的：支持对个人订单（挂号订单、缴费订单、就诊记录、体检订单）详情查看，支持待缴费订单的缴费处理。支持就诊人信息维护，添加就诊人、解除绑定等。支持反馈建议提交，反馈记录查看。支持电子发票查看。</w:t>
      </w:r>
    </w:p>
    <w:p w14:paraId="3908B686">
      <w:pPr>
        <w:spacing w:before="36" w:after="36"/>
        <w:ind w:firstLine="0" w:firstLineChars="0"/>
        <w:rPr>
          <w:rFonts w:hint="eastAsia" w:ascii="宋体" w:hAnsi="宋体" w:eastAsia="宋体" w:cs="宋体"/>
          <w:b/>
          <w:bCs/>
          <w:sz w:val="24"/>
          <w:szCs w:val="24"/>
          <w:highlight w:val="none"/>
        </w:rPr>
      </w:pPr>
      <w:bookmarkStart w:id="81" w:name="_Toc21883"/>
      <w:r>
        <w:rPr>
          <w:rFonts w:hint="eastAsia" w:ascii="宋体" w:hAnsi="宋体" w:eastAsia="宋体" w:cs="宋体"/>
          <w:b/>
          <w:bCs/>
          <w:sz w:val="24"/>
          <w:szCs w:val="24"/>
          <w:highlight w:val="none"/>
        </w:rPr>
        <w:t>移动支付服务</w:t>
      </w:r>
      <w:bookmarkEnd w:id="81"/>
    </w:p>
    <w:p w14:paraId="14A46DD4">
      <w:pPr>
        <w:widowControl w:val="0"/>
        <w:numPr>
          <w:ilvl w:val="0"/>
          <w:numId w:val="34"/>
        </w:numPr>
        <w:spacing w:before="36" w:after="36"/>
        <w:ind w:left="425" w:leftChars="0" w:hanging="425" w:firstLineChars="0"/>
        <w:jc w:val="both"/>
        <w:rPr>
          <w:rFonts w:hint="eastAsia" w:ascii="宋体" w:hAnsi="宋体" w:eastAsia="宋体" w:cs="宋体"/>
          <w:sz w:val="22"/>
          <w:szCs w:val="16"/>
          <w:highlight w:val="none"/>
        </w:rPr>
      </w:pPr>
      <w:bookmarkStart w:id="82" w:name="_Toc48223888"/>
      <w:r>
        <w:rPr>
          <w:rFonts w:hint="eastAsia" w:ascii="宋体" w:hAnsi="宋体" w:eastAsia="宋体" w:cs="宋体"/>
          <w:sz w:val="22"/>
          <w:szCs w:val="16"/>
          <w:highlight w:val="none"/>
        </w:rPr>
        <w:t>提供基于微信的窗口支付</w:t>
      </w:r>
      <w:bookmarkEnd w:id="82"/>
      <w:r>
        <w:rPr>
          <w:rFonts w:hint="eastAsia" w:ascii="宋体" w:hAnsi="宋体" w:eastAsia="宋体" w:cs="宋体"/>
          <w:sz w:val="22"/>
          <w:szCs w:val="16"/>
          <w:highlight w:val="none"/>
        </w:rPr>
        <w:t>。</w:t>
      </w:r>
    </w:p>
    <w:p w14:paraId="2C062ED1">
      <w:pPr>
        <w:widowControl w:val="0"/>
        <w:numPr>
          <w:ilvl w:val="0"/>
          <w:numId w:val="3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提供基于微信的诊间支付。</w:t>
      </w:r>
    </w:p>
    <w:p w14:paraId="04919B66">
      <w:pPr>
        <w:widowControl w:val="0"/>
        <w:numPr>
          <w:ilvl w:val="0"/>
          <w:numId w:val="3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提供基于支付宝的窗口支付。</w:t>
      </w:r>
    </w:p>
    <w:p w14:paraId="70909906">
      <w:pPr>
        <w:widowControl w:val="0"/>
        <w:numPr>
          <w:ilvl w:val="0"/>
          <w:numId w:val="3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提供基于支付宝的诊间支付。</w:t>
      </w:r>
    </w:p>
    <w:p w14:paraId="3FB51A4E">
      <w:pPr>
        <w:widowControl w:val="0"/>
        <w:numPr>
          <w:ilvl w:val="0"/>
          <w:numId w:val="34"/>
        </w:numPr>
        <w:spacing w:before="36" w:after="36"/>
        <w:ind w:left="425" w:leftChars="0" w:hanging="425" w:firstLineChars="0"/>
        <w:jc w:val="both"/>
        <w:rPr>
          <w:rFonts w:hint="eastAsia" w:ascii="宋体" w:hAnsi="宋体" w:eastAsia="宋体" w:cs="宋体"/>
          <w:sz w:val="22"/>
          <w:szCs w:val="16"/>
          <w:highlight w:val="none"/>
        </w:rPr>
      </w:pPr>
      <w:r>
        <w:rPr>
          <w:rFonts w:hint="eastAsia" w:ascii="宋体" w:hAnsi="宋体" w:eastAsia="宋体" w:cs="宋体"/>
          <w:sz w:val="22"/>
          <w:szCs w:val="16"/>
          <w:highlight w:val="none"/>
        </w:rPr>
        <w:t>支付平台：提供支付概况、对账管理、支付账单查询、基础配置等功能。</w:t>
      </w:r>
    </w:p>
    <w:p w14:paraId="2E83D7AC">
      <w:pPr>
        <w:numPr>
          <w:ilvl w:val="4"/>
          <w:numId w:val="0"/>
        </w:numPr>
        <w:spacing w:before="120" w:after="12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接口服务</w:t>
      </w:r>
    </w:p>
    <w:p w14:paraId="2DF8D51A">
      <w:pPr>
        <w:rPr>
          <w:rFonts w:hint="eastAsia" w:ascii="宋体" w:hAnsi="宋体" w:eastAsia="宋体" w:cs="宋体"/>
          <w:sz w:val="22"/>
          <w:szCs w:val="16"/>
          <w:highlight w:val="none"/>
        </w:rPr>
      </w:pPr>
      <w:r>
        <w:rPr>
          <w:rFonts w:hint="eastAsia" w:ascii="宋体" w:hAnsi="宋体" w:eastAsia="宋体" w:cs="宋体"/>
          <w:sz w:val="21"/>
          <w:szCs w:val="24"/>
        </w:rPr>
        <w:t>★</w:t>
      </w:r>
      <w:r>
        <w:rPr>
          <w:rFonts w:hint="eastAsia" w:ascii="宋体" w:hAnsi="宋体" w:eastAsia="宋体" w:cs="宋体"/>
          <w:sz w:val="22"/>
          <w:szCs w:val="16"/>
          <w:highlight w:val="none"/>
        </w:rPr>
        <w:t>支持医保接口对接</w:t>
      </w:r>
    </w:p>
    <w:p w14:paraId="101640F0">
      <w:pPr>
        <w:rPr>
          <w:rFonts w:hint="eastAsia" w:ascii="宋体" w:hAnsi="宋体" w:eastAsia="宋体" w:cs="宋体"/>
          <w:sz w:val="22"/>
          <w:szCs w:val="16"/>
          <w:highlight w:val="none"/>
        </w:rPr>
      </w:pPr>
      <w:r>
        <w:rPr>
          <w:rFonts w:hint="eastAsia" w:ascii="宋体" w:hAnsi="宋体" w:eastAsia="宋体" w:cs="宋体"/>
          <w:sz w:val="22"/>
          <w:szCs w:val="16"/>
          <w:highlight w:val="none"/>
        </w:rPr>
        <w:t>支持电子票据接口对接</w:t>
      </w:r>
    </w:p>
    <w:p w14:paraId="3633901F">
      <w:pPr>
        <w:rPr>
          <w:rFonts w:hint="eastAsia" w:ascii="宋体" w:hAnsi="宋体" w:eastAsia="宋体" w:cs="宋体"/>
          <w:sz w:val="22"/>
          <w:szCs w:val="16"/>
          <w:highlight w:val="none"/>
        </w:rPr>
      </w:pPr>
      <w:r>
        <w:rPr>
          <w:rFonts w:hint="eastAsia" w:ascii="宋体" w:hAnsi="宋体" w:eastAsia="宋体" w:cs="宋体"/>
          <w:sz w:val="22"/>
          <w:szCs w:val="16"/>
          <w:highlight w:val="none"/>
        </w:rPr>
        <w:t>支持电子处方流转接口对接</w:t>
      </w:r>
    </w:p>
    <w:p w14:paraId="525BF9D6">
      <w:pPr>
        <w:rPr>
          <w:rFonts w:hint="eastAsia" w:ascii="宋体" w:hAnsi="宋体" w:eastAsia="宋体" w:cs="宋体"/>
          <w:sz w:val="22"/>
          <w:szCs w:val="16"/>
          <w:highlight w:val="none"/>
        </w:rPr>
      </w:pPr>
      <w:r>
        <w:rPr>
          <w:rFonts w:hint="eastAsia" w:ascii="宋体" w:hAnsi="宋体" w:eastAsia="宋体" w:cs="宋体"/>
          <w:sz w:val="22"/>
          <w:szCs w:val="16"/>
          <w:highlight w:val="none"/>
        </w:rPr>
        <w:t>支持药品追溯码接口对接</w:t>
      </w:r>
    </w:p>
    <w:p w14:paraId="61F71CA3">
      <w:pPr>
        <w:rPr>
          <w:rFonts w:hint="eastAsia" w:ascii="宋体" w:hAnsi="宋体" w:eastAsia="宋体" w:cs="宋体"/>
          <w:sz w:val="22"/>
          <w:szCs w:val="16"/>
          <w:highlight w:val="none"/>
        </w:rPr>
      </w:pPr>
      <w:r>
        <w:rPr>
          <w:rFonts w:hint="eastAsia" w:ascii="宋体" w:hAnsi="宋体" w:eastAsia="宋体" w:cs="宋体"/>
          <w:sz w:val="22"/>
          <w:szCs w:val="16"/>
          <w:highlight w:val="none"/>
        </w:rPr>
        <w:t>支持传染病上报接口对接</w:t>
      </w:r>
    </w:p>
    <w:p w14:paraId="31062CFA">
      <w:pPr>
        <w:rPr>
          <w:rFonts w:hint="eastAsia" w:ascii="宋体" w:hAnsi="宋体" w:eastAsia="宋体" w:cs="宋体"/>
          <w:sz w:val="22"/>
          <w:szCs w:val="16"/>
          <w:highlight w:val="none"/>
        </w:rPr>
      </w:pPr>
      <w:r>
        <w:rPr>
          <w:rFonts w:hint="eastAsia" w:ascii="宋体" w:hAnsi="宋体" w:eastAsia="宋体" w:cs="宋体"/>
          <w:sz w:val="22"/>
          <w:szCs w:val="16"/>
          <w:highlight w:val="none"/>
        </w:rPr>
        <w:t>支持HQMS上传接口对接</w:t>
      </w:r>
    </w:p>
    <w:p w14:paraId="3FCF6E6C">
      <w:pPr>
        <w:rPr>
          <w:rFonts w:hint="eastAsia" w:ascii="宋体" w:hAnsi="宋体" w:eastAsia="宋体" w:cs="宋体"/>
          <w:sz w:val="22"/>
          <w:szCs w:val="16"/>
          <w:highlight w:val="none"/>
        </w:rPr>
      </w:pPr>
      <w:r>
        <w:rPr>
          <w:rFonts w:hint="eastAsia" w:ascii="宋体" w:hAnsi="宋体" w:eastAsia="宋体" w:cs="宋体"/>
          <w:sz w:val="22"/>
          <w:szCs w:val="16"/>
          <w:highlight w:val="none"/>
        </w:rPr>
        <w:t>支持移动支付接口对接</w:t>
      </w:r>
    </w:p>
    <w:p w14:paraId="4C3AC306">
      <w:pPr>
        <w:pStyle w:val="6"/>
        <w:jc w:val="both"/>
        <w:rPr>
          <w:rFonts w:hint="eastAsia" w:ascii="宋体" w:hAnsi="宋体" w:eastAsia="宋体" w:cs="宋体"/>
          <w:sz w:val="24"/>
          <w:szCs w:val="22"/>
          <w:highlight w:val="none"/>
        </w:rPr>
      </w:pPr>
      <w:bookmarkStart w:id="83" w:name="_Toc182836650"/>
      <w:bookmarkStart w:id="84" w:name="_Toc4200"/>
      <w:r>
        <w:rPr>
          <w:rFonts w:hint="eastAsia" w:ascii="宋体" w:hAnsi="宋体" w:eastAsia="宋体" w:cs="宋体"/>
          <w:sz w:val="24"/>
          <w:szCs w:val="24"/>
          <w:highlight w:val="none"/>
        </w:rPr>
        <w:t>智慧村医信息系统</w:t>
      </w:r>
      <w:bookmarkEnd w:id="83"/>
      <w:bookmarkEnd w:id="84"/>
    </w:p>
    <w:p w14:paraId="09C44E4D">
      <w:pPr>
        <w:numPr>
          <w:ilvl w:val="4"/>
          <w:numId w:val="0"/>
        </w:numPr>
        <w:spacing w:before="120" w:after="120"/>
        <w:jc w:val="both"/>
        <w:rPr>
          <w:rFonts w:hint="eastAsia" w:ascii="宋体" w:hAnsi="宋体" w:eastAsia="宋体" w:cs="宋体"/>
          <w:b/>
          <w:bCs/>
          <w:sz w:val="24"/>
          <w:szCs w:val="24"/>
          <w:highlight w:val="none"/>
        </w:rPr>
      </w:pPr>
      <w:bookmarkStart w:id="85" w:name="_Toc12922"/>
      <w:r>
        <w:rPr>
          <w:rFonts w:hint="eastAsia" w:ascii="宋体" w:hAnsi="宋体" w:eastAsia="宋体" w:cs="宋体"/>
          <w:b/>
          <w:bCs/>
          <w:sz w:val="24"/>
          <w:szCs w:val="24"/>
          <w:highlight w:val="none"/>
        </w:rPr>
        <w:t>医生主页管理</w:t>
      </w:r>
      <w:bookmarkEnd w:id="85"/>
    </w:p>
    <w:p w14:paraId="2DCC48B3">
      <w:pPr>
        <w:rPr>
          <w:rFonts w:hint="eastAsia" w:ascii="宋体" w:hAnsi="宋体" w:eastAsia="宋体" w:cs="宋体"/>
          <w:sz w:val="22"/>
          <w:szCs w:val="16"/>
          <w:highlight w:val="none"/>
        </w:rPr>
      </w:pPr>
      <w:r>
        <w:rPr>
          <w:rFonts w:hint="eastAsia" w:ascii="宋体" w:hAnsi="宋体" w:eastAsia="宋体" w:cs="宋体"/>
          <w:sz w:val="22"/>
          <w:szCs w:val="16"/>
          <w:highlight w:val="none"/>
        </w:rPr>
        <w:t>对村医日常事务进行管理，包括对辖区卫生概况的统计展示，工作事务提醒，以及快速服务。</w:t>
      </w:r>
    </w:p>
    <w:p w14:paraId="3D4B75FA">
      <w:pPr>
        <w:numPr>
          <w:ilvl w:val="4"/>
          <w:numId w:val="0"/>
        </w:numPr>
        <w:spacing w:before="120" w:after="120"/>
        <w:jc w:val="both"/>
        <w:rPr>
          <w:rFonts w:hint="eastAsia" w:ascii="宋体" w:hAnsi="宋体" w:eastAsia="宋体" w:cs="宋体"/>
          <w:b/>
          <w:bCs/>
          <w:sz w:val="24"/>
          <w:szCs w:val="24"/>
          <w:highlight w:val="none"/>
        </w:rPr>
      </w:pPr>
      <w:bookmarkStart w:id="86" w:name="_Toc21659"/>
      <w:r>
        <w:rPr>
          <w:rFonts w:hint="eastAsia" w:ascii="宋体" w:hAnsi="宋体" w:eastAsia="宋体" w:cs="宋体"/>
          <w:b/>
          <w:bCs/>
          <w:sz w:val="24"/>
          <w:szCs w:val="24"/>
          <w:highlight w:val="none"/>
        </w:rPr>
        <w:t>医疗服务</w:t>
      </w:r>
      <w:bookmarkEnd w:id="86"/>
    </w:p>
    <w:p w14:paraId="25F3128B">
      <w:pPr>
        <w:rPr>
          <w:rFonts w:hint="eastAsia" w:ascii="宋体" w:hAnsi="宋体" w:eastAsia="宋体" w:cs="宋体"/>
          <w:sz w:val="22"/>
          <w:szCs w:val="16"/>
          <w:highlight w:val="none"/>
        </w:rPr>
      </w:pPr>
      <w:r>
        <w:rPr>
          <w:rFonts w:hint="eastAsia" w:ascii="宋体" w:hAnsi="宋体" w:eastAsia="宋体" w:cs="宋体"/>
          <w:sz w:val="22"/>
          <w:szCs w:val="16"/>
          <w:highlight w:val="none"/>
        </w:rPr>
        <w:t>要求提供村医工作站满足村医医疗服务工作需要，工作站需要提供门诊诊疗、收费、就诊记录查询、就诊单据打印等功能。</w:t>
      </w:r>
    </w:p>
    <w:p w14:paraId="2D1028B0">
      <w:pPr>
        <w:spacing w:before="36" w:after="36"/>
        <w:ind w:firstLine="0" w:firstLineChars="0"/>
        <w:rPr>
          <w:rFonts w:hint="eastAsia" w:ascii="宋体" w:hAnsi="宋体" w:eastAsia="宋体" w:cs="宋体"/>
          <w:b/>
          <w:bCs/>
          <w:sz w:val="24"/>
          <w:szCs w:val="24"/>
          <w:highlight w:val="none"/>
        </w:rPr>
      </w:pPr>
      <w:bookmarkStart w:id="87" w:name="_Toc20078"/>
      <w:r>
        <w:rPr>
          <w:rFonts w:hint="eastAsia" w:ascii="宋体" w:hAnsi="宋体" w:eastAsia="宋体" w:cs="宋体"/>
          <w:b/>
          <w:bCs/>
          <w:sz w:val="24"/>
          <w:szCs w:val="24"/>
          <w:highlight w:val="none"/>
        </w:rPr>
        <w:t>门诊诊疗</w:t>
      </w:r>
      <w:bookmarkEnd w:id="87"/>
    </w:p>
    <w:p w14:paraId="50F6C984">
      <w:pPr>
        <w:rPr>
          <w:rFonts w:hint="eastAsia" w:ascii="宋体" w:hAnsi="宋体" w:eastAsia="宋体" w:cs="宋体"/>
          <w:sz w:val="22"/>
          <w:szCs w:val="16"/>
          <w:highlight w:val="none"/>
        </w:rPr>
      </w:pPr>
      <w:r>
        <w:rPr>
          <w:rFonts w:hint="eastAsia" w:ascii="宋体" w:hAnsi="宋体" w:eastAsia="宋体" w:cs="宋体"/>
          <w:sz w:val="22"/>
          <w:szCs w:val="16"/>
          <w:highlight w:val="none"/>
        </w:rPr>
        <w:t>包括下诊断、开医嘱、导入村民历史就诊遗嘱、成套方案等。同时针对35岁以上村民进行首诊测血压、针对传染病人书写传染病报告卡。书写病历、打印处方等操作。同时列出居民可做服务，在就诊的同时可开展公共卫生服务。</w:t>
      </w:r>
    </w:p>
    <w:p w14:paraId="13CA55C4">
      <w:pPr>
        <w:spacing w:before="36" w:after="36"/>
        <w:ind w:firstLine="0" w:firstLineChars="0"/>
        <w:rPr>
          <w:rFonts w:hint="eastAsia" w:ascii="宋体" w:hAnsi="宋体" w:eastAsia="宋体" w:cs="宋体"/>
          <w:b/>
          <w:bCs/>
          <w:sz w:val="24"/>
          <w:szCs w:val="24"/>
          <w:highlight w:val="none"/>
        </w:rPr>
      </w:pPr>
      <w:bookmarkStart w:id="88" w:name="_Toc11408"/>
      <w:r>
        <w:rPr>
          <w:rFonts w:hint="eastAsia" w:ascii="宋体" w:hAnsi="宋体" w:eastAsia="宋体" w:cs="宋体"/>
          <w:b/>
          <w:bCs/>
          <w:sz w:val="24"/>
          <w:szCs w:val="24"/>
          <w:highlight w:val="none"/>
        </w:rPr>
        <w:t>门诊收费</w:t>
      </w:r>
      <w:bookmarkEnd w:id="88"/>
    </w:p>
    <w:p w14:paraId="1C0C9A69">
      <w:pPr>
        <w:rPr>
          <w:rFonts w:hint="eastAsia" w:ascii="宋体" w:hAnsi="宋体" w:eastAsia="宋体" w:cs="宋体"/>
          <w:sz w:val="22"/>
          <w:szCs w:val="16"/>
          <w:highlight w:val="none"/>
        </w:rPr>
      </w:pPr>
      <w:r>
        <w:rPr>
          <w:rFonts w:hint="eastAsia" w:ascii="宋体" w:hAnsi="宋体" w:eastAsia="宋体" w:cs="宋体"/>
          <w:sz w:val="22"/>
          <w:szCs w:val="16"/>
          <w:highlight w:val="none"/>
        </w:rPr>
        <w:t>根据就诊单据结算（可连接医保结算，实时医保补偿）、发药等操作。可根据实际情况，修改未结算单据进行结算，或者退费、作废等操作。</w:t>
      </w:r>
    </w:p>
    <w:p w14:paraId="30A2E2DB">
      <w:pPr>
        <w:spacing w:before="36" w:after="36"/>
        <w:ind w:firstLine="0" w:firstLineChars="0"/>
        <w:rPr>
          <w:rFonts w:hint="eastAsia" w:ascii="宋体" w:hAnsi="宋体" w:eastAsia="宋体" w:cs="宋体"/>
          <w:b/>
          <w:bCs/>
          <w:sz w:val="24"/>
          <w:szCs w:val="24"/>
          <w:highlight w:val="none"/>
        </w:rPr>
      </w:pPr>
      <w:bookmarkStart w:id="89" w:name="_Toc25413"/>
      <w:r>
        <w:rPr>
          <w:rFonts w:hint="eastAsia" w:ascii="宋体" w:hAnsi="宋体" w:eastAsia="宋体" w:cs="宋体"/>
          <w:b/>
          <w:bCs/>
          <w:sz w:val="24"/>
          <w:szCs w:val="24"/>
          <w:highlight w:val="none"/>
        </w:rPr>
        <w:t>就诊记录查询</w:t>
      </w:r>
      <w:bookmarkEnd w:id="89"/>
    </w:p>
    <w:p w14:paraId="378431B4">
      <w:pPr>
        <w:rPr>
          <w:rFonts w:hint="eastAsia" w:ascii="宋体" w:hAnsi="宋体" w:eastAsia="宋体" w:cs="宋体"/>
          <w:sz w:val="22"/>
          <w:szCs w:val="16"/>
          <w:highlight w:val="none"/>
        </w:rPr>
      </w:pPr>
      <w:r>
        <w:rPr>
          <w:rFonts w:hint="eastAsia" w:ascii="宋体" w:hAnsi="宋体" w:eastAsia="宋体" w:cs="宋体"/>
          <w:sz w:val="22"/>
          <w:szCs w:val="16"/>
          <w:highlight w:val="none"/>
        </w:rPr>
        <w:t>根据居民信息、就诊时间、结算与否等信息查询历史就诊记录。</w:t>
      </w:r>
    </w:p>
    <w:p w14:paraId="5128A9C9">
      <w:pPr>
        <w:spacing w:before="36" w:after="36"/>
        <w:ind w:firstLine="0" w:firstLineChars="0"/>
        <w:rPr>
          <w:rFonts w:hint="eastAsia" w:ascii="宋体" w:hAnsi="宋体" w:eastAsia="宋体" w:cs="宋体"/>
          <w:b/>
          <w:bCs/>
          <w:sz w:val="24"/>
          <w:szCs w:val="24"/>
          <w:highlight w:val="none"/>
        </w:rPr>
      </w:pPr>
      <w:bookmarkStart w:id="90" w:name="_Toc28676"/>
      <w:r>
        <w:rPr>
          <w:rFonts w:hint="eastAsia" w:ascii="宋体" w:hAnsi="宋体" w:eastAsia="宋体" w:cs="宋体"/>
          <w:b/>
          <w:bCs/>
          <w:sz w:val="24"/>
          <w:szCs w:val="24"/>
          <w:highlight w:val="none"/>
        </w:rPr>
        <w:t>就诊单据打印</w:t>
      </w:r>
      <w:bookmarkEnd w:id="90"/>
    </w:p>
    <w:p w14:paraId="3CC9E022">
      <w:pPr>
        <w:rPr>
          <w:rFonts w:hint="eastAsia" w:ascii="宋体" w:hAnsi="宋体" w:eastAsia="宋体" w:cs="宋体"/>
          <w:sz w:val="22"/>
          <w:szCs w:val="16"/>
          <w:highlight w:val="none"/>
        </w:rPr>
      </w:pPr>
      <w:r>
        <w:rPr>
          <w:rFonts w:hint="eastAsia" w:ascii="宋体" w:hAnsi="宋体" w:eastAsia="宋体" w:cs="宋体"/>
          <w:sz w:val="22"/>
          <w:szCs w:val="16"/>
          <w:highlight w:val="none"/>
        </w:rPr>
        <w:t>根据就诊记录，提供查看和打印包括中西药处方、病历文书和门诊日报等单据的功能。</w:t>
      </w:r>
    </w:p>
    <w:p w14:paraId="0993CC10">
      <w:pPr>
        <w:numPr>
          <w:ilvl w:val="4"/>
          <w:numId w:val="0"/>
        </w:numPr>
        <w:spacing w:before="120" w:after="120"/>
        <w:jc w:val="both"/>
        <w:rPr>
          <w:rFonts w:hint="eastAsia" w:ascii="宋体" w:hAnsi="宋体" w:eastAsia="宋体" w:cs="宋体"/>
          <w:b/>
          <w:bCs/>
          <w:sz w:val="24"/>
          <w:szCs w:val="24"/>
          <w:highlight w:val="none"/>
        </w:rPr>
      </w:pPr>
      <w:bookmarkStart w:id="91" w:name="_Toc21955"/>
      <w:r>
        <w:rPr>
          <w:rFonts w:hint="eastAsia" w:ascii="宋体" w:hAnsi="宋体" w:eastAsia="宋体" w:cs="宋体"/>
          <w:b/>
          <w:bCs/>
          <w:sz w:val="24"/>
          <w:szCs w:val="24"/>
          <w:highlight w:val="none"/>
        </w:rPr>
        <w:t>公共卫生服务</w:t>
      </w:r>
      <w:bookmarkEnd w:id="91"/>
    </w:p>
    <w:p w14:paraId="616787E4">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支持与公卫卫生系统对接，能够满足《国家基本公共卫生服务规范（第三版）》相关要求，为辖区居民提供居民健康档案服务，包括档案的增删改查、迁入迁出、以及业务统计查询等功能；按照规范对辖区村民进行管理，针对重点人群进行访视、随访、体检等服务。包括但不限于产后访视、新生儿家庭防视、慢病随访、重性精神病人随访等国家基本公共卫生服务。</w:t>
      </w:r>
    </w:p>
    <w:p w14:paraId="742EC1B9">
      <w:pPr>
        <w:numPr>
          <w:ilvl w:val="4"/>
          <w:numId w:val="0"/>
        </w:numPr>
        <w:spacing w:before="120" w:after="120"/>
        <w:jc w:val="both"/>
        <w:rPr>
          <w:rFonts w:hint="eastAsia" w:ascii="宋体" w:hAnsi="宋体" w:eastAsia="宋体" w:cs="宋体"/>
          <w:b/>
          <w:bCs/>
          <w:sz w:val="24"/>
          <w:szCs w:val="24"/>
          <w:highlight w:val="none"/>
        </w:rPr>
      </w:pPr>
      <w:bookmarkStart w:id="92" w:name="_Toc2717"/>
      <w:r>
        <w:rPr>
          <w:rFonts w:hint="eastAsia" w:ascii="宋体" w:hAnsi="宋体" w:eastAsia="宋体" w:cs="宋体"/>
          <w:b/>
          <w:bCs/>
          <w:sz w:val="24"/>
          <w:szCs w:val="24"/>
          <w:highlight w:val="none"/>
        </w:rPr>
        <w:t>药品管理</w:t>
      </w:r>
      <w:bookmarkEnd w:id="92"/>
    </w:p>
    <w:p w14:paraId="023468A1">
      <w:pPr>
        <w:rPr>
          <w:rFonts w:hint="eastAsia" w:ascii="宋体" w:hAnsi="宋体" w:eastAsia="宋体" w:cs="宋体"/>
          <w:sz w:val="22"/>
          <w:szCs w:val="16"/>
          <w:highlight w:val="none"/>
        </w:rPr>
      </w:pPr>
      <w:r>
        <w:rPr>
          <w:rFonts w:hint="eastAsia" w:ascii="宋体" w:hAnsi="宋体" w:eastAsia="宋体" w:cs="宋体"/>
          <w:sz w:val="22"/>
          <w:szCs w:val="16"/>
          <w:highlight w:val="none"/>
        </w:rPr>
        <w:t>提供药品管理功能对村卫生室药品进行申领、移库、入库、出库、盘点等操作。</w:t>
      </w:r>
    </w:p>
    <w:p w14:paraId="360B45A6">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药品管理需提供的功能包括但不限于：药品目录管理、药品申领管理、移库接收管理、外购入库管理、其他入库管理、出库管理、库存盘点管理、库存查询。</w:t>
      </w:r>
    </w:p>
    <w:p w14:paraId="1053914C">
      <w:pPr>
        <w:numPr>
          <w:ilvl w:val="4"/>
          <w:numId w:val="0"/>
        </w:numPr>
        <w:spacing w:before="120" w:after="120"/>
        <w:jc w:val="both"/>
        <w:rPr>
          <w:rFonts w:hint="eastAsia" w:ascii="宋体" w:hAnsi="宋体" w:eastAsia="宋体" w:cs="宋体"/>
          <w:b/>
          <w:bCs/>
          <w:sz w:val="24"/>
          <w:szCs w:val="24"/>
          <w:highlight w:val="none"/>
        </w:rPr>
      </w:pPr>
      <w:bookmarkStart w:id="93" w:name="_Toc15874"/>
      <w:r>
        <w:rPr>
          <w:rFonts w:hint="eastAsia" w:ascii="宋体" w:hAnsi="宋体" w:eastAsia="宋体" w:cs="宋体"/>
          <w:sz w:val="21"/>
          <w:szCs w:val="24"/>
        </w:rPr>
        <w:t>★</w:t>
      </w:r>
      <w:r>
        <w:rPr>
          <w:rFonts w:hint="eastAsia" w:ascii="宋体" w:hAnsi="宋体" w:eastAsia="宋体" w:cs="宋体"/>
          <w:b/>
          <w:bCs/>
          <w:sz w:val="24"/>
          <w:szCs w:val="24"/>
          <w:highlight w:val="none"/>
        </w:rPr>
        <w:t>医保服务</w:t>
      </w:r>
      <w:bookmarkEnd w:id="93"/>
    </w:p>
    <w:p w14:paraId="05E2915F">
      <w:pPr>
        <w:ind w:firstLine="420" w:firstLineChars="0"/>
        <w:rPr>
          <w:rFonts w:hint="eastAsia" w:ascii="宋体" w:hAnsi="宋体" w:eastAsia="宋体" w:cs="宋体"/>
          <w:sz w:val="22"/>
          <w:szCs w:val="16"/>
          <w:highlight w:val="none"/>
        </w:rPr>
      </w:pPr>
      <w:r>
        <w:rPr>
          <w:rFonts w:hint="eastAsia" w:ascii="宋体" w:hAnsi="宋体" w:eastAsia="宋体" w:cs="宋体"/>
          <w:sz w:val="22"/>
          <w:szCs w:val="16"/>
          <w:highlight w:val="none"/>
        </w:rPr>
        <w:t>医保结算及相关凭据查询：可接入不同类型医保接口，连接医保接口进行就诊结算。同时统计查询相关凭证及其打印</w:t>
      </w:r>
    </w:p>
    <w:p w14:paraId="3FE633F8">
      <w:pPr>
        <w:pStyle w:val="3"/>
        <w:numPr>
          <w:ilvl w:val="0"/>
          <w:numId w:val="2"/>
        </w:numPr>
        <w:bidi w:val="0"/>
        <w:rPr>
          <w:rFonts w:hint="eastAsia"/>
          <w:highlight w:val="none"/>
          <w:lang w:val="en-US" w:eastAsia="zh-CN"/>
        </w:rPr>
      </w:pPr>
      <w:r>
        <w:rPr>
          <w:rFonts w:hint="eastAsia"/>
          <w:highlight w:val="none"/>
          <w:lang w:val="en-US" w:eastAsia="zh-CN"/>
        </w:rPr>
        <w:t>其他配套服务清单及建设要求</w:t>
      </w:r>
    </w:p>
    <w:p w14:paraId="31D2009C">
      <w:pPr>
        <w:pStyle w:val="4"/>
        <w:bidi w:val="0"/>
        <w:rPr>
          <w:rFonts w:hint="eastAsia"/>
          <w:highlight w:val="none"/>
          <w:lang w:val="en-US" w:eastAsia="zh-CN"/>
        </w:rPr>
      </w:pPr>
      <w:r>
        <w:rPr>
          <w:rFonts w:hint="eastAsia"/>
          <w:highlight w:val="none"/>
          <w:lang w:val="en-US" w:eastAsia="zh-CN"/>
        </w:rPr>
        <w:t>3.1 医共体总、分院机房设备</w:t>
      </w:r>
    </w:p>
    <w:tbl>
      <w:tblPr>
        <w:tblStyle w:val="15"/>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886"/>
        <w:gridCol w:w="6123"/>
        <w:gridCol w:w="796"/>
        <w:gridCol w:w="796"/>
      </w:tblGrid>
      <w:tr w14:paraId="08D8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8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DC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w:t>
            </w:r>
          </w:p>
        </w:tc>
        <w:tc>
          <w:tcPr>
            <w:tcW w:w="6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CE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配置</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9E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85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r>
      <w:tr w14:paraId="0F22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9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49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yellow"/>
                <w:u w:val="none"/>
                <w:lang w:val="en-US" w:eastAsia="zh-CN" w:bidi="ar"/>
              </w:rPr>
              <w:t>防火墙</w:t>
            </w:r>
            <w:r>
              <w:rPr>
                <w:rFonts w:hint="eastAsia" w:ascii="宋体" w:hAnsi="宋体" w:eastAsia="宋体" w:cs="宋体"/>
                <w:i w:val="0"/>
                <w:iCs w:val="0"/>
                <w:color w:val="000000"/>
                <w:kern w:val="0"/>
                <w:sz w:val="20"/>
                <w:szCs w:val="20"/>
                <w:highlight w:val="none"/>
                <w:u w:val="none"/>
                <w:lang w:val="en-US" w:eastAsia="zh-CN" w:bidi="ar"/>
              </w:rPr>
              <w:t>1</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6E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yellow"/>
                <w:u w:val="none"/>
                <w:lang w:val="en-US" w:eastAsia="zh-CN" w:bidi="ar"/>
              </w:rPr>
              <w:t>机架式硬件架构，采用X86多核架构，配置可插拔冗余电源模块</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yellow"/>
                <w:u w:val="none"/>
                <w:lang w:val="en-US" w:eastAsia="zh-CN" w:bidi="ar"/>
              </w:rPr>
              <w:t>性能要求：吞吐量≥30Gbps，并发连接数≥1000万，新建连接数≥25万。</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3、接口要求：具备≥16个千兆电口，≥2个千兆光口，≥4个万兆光口。</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yellow"/>
                <w:u w:val="none"/>
                <w:lang w:val="en-US" w:eastAsia="zh-CN" w:bidi="ar"/>
              </w:rPr>
              <w:t>路由交换：支持路由、交换、虚拟线、监听以及混合工作模式，支持RIP、OSPF、BGP等路由协议。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5、链路聚合：支持链路聚合功能，链路负载算法包含但不限于：源/目的MAC、源/目的IP、源/目的端口、五元组、端口轮询等条。（提供产品功能截图）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访问控制：防火墙通过一条策略实现源地址、源区域、目的地址、目的区域、域名、应用、服务、时间、长连接、活动会话数、入侵防御、病毒过滤、URL过滤、WAF、邮件安全、数据过滤、文件过滤、审计策略、邮件安全、APT等功能配置。（提供产品功能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7、高级威胁：内置高级威胁防护，可对DGA、隐蔽信道、恶意加密流量进行检测，支持监控高级威胁检测数据，并进行可视化展示。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8、入侵防御：配置独立的入侵防护规则特征库，特征总数≥5000条，能对常见漏洞进行安全防护，兼容国家信息安全漏洞库。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9、病毒过滤：须支持≥2种专业反病毒厂商的病毒特征库，病毒特征库规模≥400万。（提供证明材料）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10、资产管理：支持资产管理，须具备查看资产详情、安全防护策略，并对资产进行分组和防护优化的功能。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11、智能防护：支持对网络资产进行一键检查，须具备获取网络中资产信息、分析资产安全状态，一键完成风险资产安全防护的功能。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审计功能：提供完善的审计数据查询功能，可对用户上网行为进行完整的审计数据查询，包括访问网站、邮件收发、FTP，同时支持对用户上网流量时长进行完整的审计数据查询，包括服务端IP、用户名、协议、上行流量、下行流量、总流量、时间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13、配置入侵攻击、防病毒特征库3年升级授权，配置项目实施所用光模块。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0"/>
                <w:szCs w:val="20"/>
                <w:highlight w:val="yellow"/>
                <w:u w:val="none"/>
                <w:lang w:val="en-US" w:eastAsia="zh-CN" w:bidi="ar"/>
              </w:rPr>
              <w:t>14、产品核心功能模块具备自主原创产品测评证书。（提供证书复印件）</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8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36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r>
      <w:tr w14:paraId="5A15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4"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E2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F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yellow"/>
                <w:u w:val="none"/>
                <w:lang w:val="en-US" w:eastAsia="zh-CN" w:bidi="ar"/>
              </w:rPr>
              <w:t>核心交换机</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EE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yellow"/>
                <w:u w:val="none"/>
                <w:lang w:val="en-US" w:eastAsia="zh-CN" w:bidi="ar"/>
              </w:rPr>
              <w:t>1、性能要求：交换容量≥38Tbps，包转发率≥7200Mpps。</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2、硬件架构：冗余电源，主控引擎≥2，整机业务板槽位数≥3，整机电源槽位数≥3。</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3、纵向虚拟化：支持纵向虚拟化技术，支持把交换机和AP虚拟为一台设备，支持两层子节点，且子节点接入交换机支持堆叠。</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4、IP路由：支持静态路由、RIP、RIPng、OSPF、OSPFv3、BGP、BGP4+、ISIS、ISISv6。</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5、IPv6：支持IPv6过渡技术，IPv4/IPv6双栈、6over4隧道、4 over6隧道。</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6、MPLS：支持MPLS L3VPN、MPLS L2VPN(VPLS，VLL)、MPLS-TE、MPLS QoS。</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7、用户认证：支持802.1X、MAC、Portal等认证方式。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8、可靠性：支持真实业务流的实时检测技术，秒级快速故障定位。支持G.8032标准环网协议。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9、管理维护：支持SNMP V1/V2/V3、Telnet、RMON、SSHV2，支持WEB网管。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10、端口：配置不少于48个千兆电口、24个千兆光口、24个万兆光口，配置项目实施所用光模块。</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65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D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r>
      <w:tr w14:paraId="29EB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07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E0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yellow"/>
                <w:u w:val="none"/>
                <w:lang w:val="en-US" w:eastAsia="zh-CN" w:bidi="ar"/>
              </w:rPr>
              <w:t>防火墙2</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9F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yellow"/>
                <w:u w:val="none"/>
                <w:lang w:val="en-US" w:eastAsia="zh-CN" w:bidi="ar"/>
              </w:rPr>
              <w:t>1、机架式硬件架构，采用X86多核架构，配置可插拔冗余电源模块。</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2、性能要求：吞吐量≥30Gbps，并发连接数≥1000万，新建连接数≥25万。</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3、接口要求：具备≥16个千兆电口，≥2个千兆光口，≥4个万兆光口。</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4、路由交换：支持路由、交换、虚拟线、监听以及混合工作模式，支持RIP、OSPF、BGP等路由协议。</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5、链路聚合：支持链路聚合功能，链路负载算法包含但不限于：源/目的MAC、源/目的IP、源/目的端口、五元组、端口轮询等条。（提供产品功能截图）</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访问控制：防火墙通过一条策略实现源地址、源区域、目的地址、目的区域、域名、应用、服务、时间、长连接、活动会话数、入侵防御、病毒过滤、URL过滤、WAF、邮件安全、数据过滤、文件过滤、审计策略、邮件安全、APT等功能配置。（提供产品功能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7、高级威胁：内置高级威胁防护，可对DGA、隐蔽信道、恶意加密流量进行检测，支持监控高级威胁检测数据，并进行可视化展示。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8、入侵防御：配置独立的入侵防护规则特征库，特征总数≥5000条，能对常见漏洞进行安全防护，兼容国家信息安全漏洞库。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9、病毒过滤：须支持≥2种专业反病毒厂商的病毒特征库，病毒特征库规模≥400万。（提供证明材料）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10、资产管理：支持资产管理，须具备查看资产详情、安全防护策略，并对资产进行分组和防护优化的功能。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11、智能防护：支持对网络资产进行一键检查，须具备获取网络中资产信息、分析资产安全状态，一键完成风险资产安全防护的功能。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审计功能：提供完善的审计数据查询功能，可对用户上网行为进行完整的审计数据查询，包括访问网站、邮件收发、FTP，同时支持对用户上网流量时长进行完整的审计数据查询，包括服务端IP、用户名、协议、上行流量、下行流量、总流量、时间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13、配置入侵攻击、防病毒特征库3年升级授权，配置项目实施所用光模块。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14、产品核心功能模块具备自主原创产品测评证书。（提供证书复印件）</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D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4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r>
      <w:tr w14:paraId="46F6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8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35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防火墙3</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6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1、系统架构：机架式硬件架构，采用自主知识产权的专用安全操作系统，采用多核多平台并行处理机制，配置可插拔冗余电源模块。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2、性能要求：吞吐量≥6G，并发连接数≥200万。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3、硬件要求：千兆电口≥8，千兆光口≥2，万兆光接口≥2。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4、接入模式：支持路由、透明以及混合接入模式，满足复杂应用环境的接入需求。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5、路由模式：支持静态路由，OSPF、BGP等动态路由，SD-WAN路由。（提供产品功能截图）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6、访问控制：支持多元组的访问控制规则，至少支持基于源MAC、源端口、目的端口、时间、域名、URL等多个元素进行访问控制。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7、地址转换：支持NAT64,支持静态转换和前缀转换方式。支持MAP66地址转换，支持源地址转换。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8、恶意代码：支持恶意代码防护功能，可针对HTTP、SMTP、POP3、FTP协议进行动态阻断。恶意代码特征库总数大于200万，包含蠕虫病毒、后门木马等。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9、应用识别：内置独立的应用识别特征库，至少分为20个大类，总数2500种以上。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10、僵木蠕防御：支持独立的僵木蠕检测防御引擎，支持预定义僵木蠕规则库，特征总数在1000条以上，可对僵尸、木马、蠕虫、勒索软件进行防护。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入侵防御：支持规则库数量大于5000条，符合CVE标准规范，每条规则都注有中文名称，点击规则编号可显示出对应的详细规则描述，如CVEID、风险等级、应用类型、漏洞描述、解决办法等。（提供产品功能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12、加密流量：支持SSL代理和TCP代理，可对HTTPS加密流量进行安全检测，同时通过URL过滤、关键字过滤等安全引擎的防护，有效阻止恶意网络攻击。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0"/>
                <w:szCs w:val="20"/>
                <w:highlight w:val="none"/>
                <w:u w:val="none"/>
                <w:lang w:val="en-US" w:eastAsia="zh-CN" w:bidi="ar"/>
              </w:rPr>
              <w:t>13、WIFI接入：支持2.4GHz与5.0GHz双频WIFI无线网络传输技术，同时可对WIFI无线用户传输数据进行加密，保障用户业务数据安全。（提供产品功能截图）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14、VPN模块：支持DES/3DES/AES等标准加密算法，支持MD5/SHA1标准HASH算法，支持DHGROUP1/2/5，RSA1024/2048非对称算法。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15、双栈模式：支持IPv4/IPv6双栈工作模式。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16、配置入侵攻击、防病毒、URL、应用识别特征库3年升级授权，配置项目实施所用光模块。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0"/>
                <w:szCs w:val="20"/>
                <w:highlight w:val="none"/>
                <w:u w:val="none"/>
                <w:lang w:val="en-US" w:eastAsia="zh-CN" w:bidi="ar"/>
              </w:rPr>
              <w:t>17、产品需具备国家信息安全测评信息技术产品安全测评证书（EAL4+级）（提供证书复印件）</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18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9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r>
      <w:tr w14:paraId="778F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4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3C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接入防火墙</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9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1、系统架构：机架式硬件架构，采用自主知识产权的专用安全操作系统，采用多核多平台并行处理机制，配置可插拔冗余电源模块。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2、性能要求：吞吐量≥2G，并发连接数50万。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3、硬件要求：千兆电口≥5，千兆光口≥2。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4、接入模式：支持路由、透明以及混合接入模式，满足复杂应用环境的接入需求。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5、路由模式：支持静态路由，OSPF、BGP等动态路由，SD-WAN路由。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6、访问控制：支持多元组的访问控制规则，至少支持基于源MAC、源端口、目的端口、时间、域名、URL等多个元素进行访问控制。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7、地址转换：支持NAT64,支持静态转换和前缀转换方式。支持MAP66地址转换，支持源地址转换。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8、恶意代码：支持恶意代码防护功能，可针对HTTP、SMTP、POP3、FTP协议进行动态阻断。恶意代码特征库总数大于200万，包含蠕虫病毒、后门木马等。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9、应用识别：内置独立的应用识别特征库，至少分为20个大类，总数2500种以上。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10、僵木蠕防御：支持独立的僵木蠕检测防御引擎，支持预定义僵木蠕规则库，特征总数在1000条以上，可对僵尸、木马、蠕虫、勒索软件进行防护。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11、入侵防御：支持规则库数量大于5000条，符合CVE标准规范，每条规则都注有中文名称，点击规则编号可显示出对应的详细规则描述，如CVEID、风险等级、应用类型、漏洞描述、解决办法等。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12、加密流量：支持SSL代理和TCP代理，可对HTTPS加密流量进行安全检测，同时通过URL过滤、关键字过滤等安全引擎的防护，有效阻止恶意网络攻击。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13、SD-WAN：支持多种SD-WAN路由智能选路方式，包括但不限于指定选路、质量保证、会话负载、剩余带宽、带宽优先占用等。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14、配置入侵攻击、防病毒、URL、应用识别特征库3年升级授权，配置项目实施所用光模块。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15、产品需具备国家信息安全测评信息技术产品安全测评证书（EAL4+级）</w:t>
            </w:r>
            <w:bookmarkStart w:id="94" w:name="OLE_LINK1"/>
            <w:r>
              <w:rPr>
                <w:rFonts w:hint="eastAsia" w:ascii="宋体" w:hAnsi="宋体" w:eastAsia="宋体" w:cs="宋体"/>
                <w:i w:val="0"/>
                <w:iCs w:val="0"/>
                <w:color w:val="auto"/>
                <w:kern w:val="0"/>
                <w:sz w:val="20"/>
                <w:szCs w:val="20"/>
                <w:highlight w:val="none"/>
                <w:u w:val="none"/>
                <w:lang w:val="en-US" w:eastAsia="zh-CN" w:bidi="ar"/>
              </w:rPr>
              <w:t>（提供证书复印件）</w:t>
            </w:r>
            <w:bookmarkEnd w:id="94"/>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E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75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r>
      <w:tr w14:paraId="3043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D7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4A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接入交换机</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E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1、交换容量≥336Gbps，包转发率≥126Mpps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2、10/100/1000Base-T自适应以太网端口≥24个，千兆电口≥4个。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3、支持基于端口的VLAN，支持基于协议的VLAN。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4、堆叠链路冗余保护能够快速收敛，收敛时间≤50ms。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5、支持IPv4/IPV6双栈管理和转发，支持静态路由协议和RIP、OSPF等路由协议，支持丰富的管理和安全特性。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6、配置项目实施所用光模块。</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B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FF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r>
    </w:tbl>
    <w:p w14:paraId="2FE9C41C">
      <w:pPr>
        <w:pStyle w:val="4"/>
        <w:bidi w:val="0"/>
        <w:rPr>
          <w:rFonts w:hint="eastAsia"/>
          <w:highlight w:val="none"/>
          <w:lang w:val="en-US" w:eastAsia="zh-CN"/>
        </w:rPr>
      </w:pPr>
      <w:r>
        <w:rPr>
          <w:rFonts w:hint="eastAsia"/>
          <w:highlight w:val="none"/>
          <w:lang w:val="en-US" w:eastAsia="zh-CN"/>
        </w:rPr>
        <w:t>3.2医共体总、分院终端设备</w:t>
      </w:r>
    </w:p>
    <w:tbl>
      <w:tblPr>
        <w:tblStyle w:val="15"/>
        <w:tblW w:w="9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6"/>
        <w:gridCol w:w="5727"/>
        <w:gridCol w:w="1056"/>
        <w:gridCol w:w="997"/>
      </w:tblGrid>
      <w:tr w14:paraId="5149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3D3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  称</w:t>
            </w:r>
          </w:p>
        </w:tc>
        <w:tc>
          <w:tcPr>
            <w:tcW w:w="5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5C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配置</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142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A592">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单位</w:t>
            </w:r>
          </w:p>
        </w:tc>
      </w:tr>
      <w:tr w14:paraId="16716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4"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CC4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电脑主机/</w:t>
            </w:r>
            <w:r>
              <w:rPr>
                <w:rFonts w:hint="eastAsia" w:ascii="宋体" w:hAnsi="宋体" w:eastAsia="宋体" w:cs="宋体"/>
                <w:i w:val="0"/>
                <w:iCs w:val="0"/>
                <w:color w:val="auto"/>
                <w:kern w:val="0"/>
                <w:sz w:val="18"/>
                <w:szCs w:val="18"/>
                <w:highlight w:val="none"/>
                <w:u w:val="none"/>
                <w:lang w:val="en-US" w:eastAsia="zh-CN" w:bidi="ar"/>
              </w:rPr>
              <w:t>键盘鼠</w:t>
            </w:r>
            <w:r>
              <w:rPr>
                <w:rFonts w:hint="eastAsia" w:ascii="宋体" w:hAnsi="宋体" w:eastAsia="宋体" w:cs="宋体"/>
                <w:i w:val="0"/>
                <w:iCs w:val="0"/>
                <w:color w:val="000000"/>
                <w:kern w:val="0"/>
                <w:sz w:val="18"/>
                <w:szCs w:val="18"/>
                <w:highlight w:val="none"/>
                <w:u w:val="none"/>
                <w:lang w:val="en-US" w:eastAsia="zh-CN" w:bidi="ar"/>
              </w:rPr>
              <w:t>标/显示器</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8BD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1、机型：分体式台式机；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2、处理器：≥Intel 12代酷睿 I7-12700处理器；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3、主板：≥Intel B760芯片组主板；具备智能温控系统，根据运行应用软件的负载等级和设备温度确定风扇转速优化计算机使用寿命及功耗；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4、内存：≥32 GB DDR4；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5、硬盘：≥256 GB M.2 PCI-E 4.0 x4 Nvme 固态硬盘 +1TB机械硬盘；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6、网卡：双千兆网卡  7、显卡：≥2G显卡；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8、音频：集成5.1声道高清声卡，5个音频接口；具备硬件语音降噪技术，即使用普通外置麦克风也可实现有效消除背景噪音达到清晰语音通话效果；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9、网卡：集成10/100/1000M自适应千兆网卡；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10、I/O扩展槽：≥1个PCI-E  x16，≥2个PCIe x1,≥1个PCI，≥2个M.2；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11、外部接口：≥10个USB接口，其中不少于4个USB3.2、2个USB 2.0及1个 Type-C；主板原生 3个视频输出端口、支持三屏同显；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12、键盘鼠标：标准USB防泼溅抗菌键盘鼠标；抗菌率大于99%；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13、电源：≥300W节能电源；具备断电保护功能，通过充电模块、储电模块及转换模块，在突然断电情况下输出12V、5V、3.3V电力供应计算机主要部件完成正常关闭流程，降低计算机故障；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14、机箱：≥17L；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15、操作系统：预装正版Windows 11操作系统；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16、显示器：主机同品牌≥23.8吋低蓝光液晶显示器，分辨率≥1920x1080、刷新率≥100Hz、对比度≥4000、显示屏响应时间：≤5ms、显示屏亮度：≥300cd/m²、显示屏像素密度：≥85像素/英寸、显示屏可视角度：水平≥178 °，垂直≥178 °、VGA + HDMI+DP接口，支持VESA，具备低蓝光认证；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17、服务：显示器保修期内提供只换不修的售后服务</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30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210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r>
      <w:tr w14:paraId="3DF1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4"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DC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视频会议摄像机</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27C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采样率：16 kHz/32 kHz/48 kHz </w:t>
            </w:r>
          </w:p>
          <w:p w14:paraId="2516E8C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图像功能：支持自动/手动白平衡、一键白平衡、左右翻转/上下翻转/中心镜像</w:t>
            </w:r>
          </w:p>
          <w:p w14:paraId="34BAEBF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LED指示灯：白灯闪烁：上电启动</w:t>
            </w:r>
          </w:p>
          <w:p w14:paraId="2458B92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白灯常亮：正常工作</w:t>
            </w:r>
          </w:p>
          <w:p w14:paraId="4EF619C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红灯常亮：静音状态</w:t>
            </w:r>
          </w:p>
          <w:p w14:paraId="16AB976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指示灯灭：设备待机</w:t>
            </w:r>
          </w:p>
          <w:p w14:paraId="48307AB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智能功能：支持人形跟随、声源定位</w:t>
            </w:r>
          </w:p>
          <w:p w14:paraId="64CD627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光学变倍：× 20</w:t>
            </w:r>
          </w:p>
          <w:p w14:paraId="7C47765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数字变倍：× 4</w:t>
            </w:r>
          </w:p>
          <w:p w14:paraId="7EBC9DD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自动聚焦：支持</w:t>
            </w:r>
          </w:p>
          <w:p w14:paraId="6BC69EE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音频功能：支持智能（稳态）降噪算法、自动增益控制、时域均衡算法，抑制环境噪音，增强人声，保证通话/音频质量 </w:t>
            </w:r>
          </w:p>
          <w:p w14:paraId="149A69B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通信方式：支持USB连接线通信</w:t>
            </w:r>
          </w:p>
          <w:p w14:paraId="3171E80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有线通信距离：线长2 m，传输距离2 m </w:t>
            </w:r>
          </w:p>
          <w:p w14:paraId="346B4D9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设备接口：HDMI接口、USB Type C接口 、VISCA接口（RS232）、电源接口</w:t>
            </w:r>
          </w:p>
          <w:p w14:paraId="10B4CF0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音频：1路音频输入（line in）, 3.5 mm三段式端子</w:t>
            </w:r>
          </w:p>
          <w:p w14:paraId="552E992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1路音频输出（line out）, 3.5 mm三段式端子</w:t>
            </w:r>
          </w:p>
          <w:p w14:paraId="6D5724C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线缆接口：USB连接线：Type C 转Type A接口</w:t>
            </w:r>
          </w:p>
          <w:p w14:paraId="6B4ACDE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适配器延长线：DC插头转DC插座 </w:t>
            </w:r>
          </w:p>
          <w:p w14:paraId="5BBC990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操作系统：Windows 7/8/10/11（高于 1080p 分辨率的需要 Windows 8.1 及以上版本）</w:t>
            </w:r>
          </w:p>
          <w:p w14:paraId="7AFD3A4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Android 8.1及以上版本</w:t>
            </w:r>
          </w:p>
          <w:p w14:paraId="4A0C822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Linux 4.14及以上版本</w:t>
            </w:r>
          </w:p>
          <w:p w14:paraId="0DC3148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macOS 10.12及以上版本 </w:t>
            </w:r>
          </w:p>
          <w:p w14:paraId="5B667DD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电源：DC：12 V ± 5%，最大功耗17 W</w:t>
            </w:r>
          </w:p>
          <w:p w14:paraId="1F567D0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工作温度和湿度：工作温度-10 ℃ ~ 45 ℃，湿度小于90%(无凝结)</w:t>
            </w:r>
          </w:p>
          <w:p w14:paraId="22B78F1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027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23</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2ACC">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r>
      <w:tr w14:paraId="692E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BBE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电视</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39C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w:t>
            </w:r>
            <w:r>
              <w:rPr>
                <w:rFonts w:hint="eastAsia" w:ascii="宋体" w:hAnsi="宋体" w:eastAsia="宋体" w:cs="宋体"/>
                <w:i w:val="0"/>
                <w:iCs w:val="0"/>
                <w:color w:val="000000"/>
                <w:kern w:val="0"/>
                <w:sz w:val="18"/>
                <w:szCs w:val="18"/>
                <w:highlight w:val="none"/>
                <w:u w:val="none"/>
                <w:lang w:val="en-US" w:eastAsia="zh-CN" w:bidi="ar"/>
              </w:rPr>
              <w:tab/>
            </w:r>
            <w:r>
              <w:rPr>
                <w:rFonts w:hint="eastAsia" w:ascii="宋体" w:hAnsi="宋体" w:eastAsia="宋体" w:cs="宋体"/>
                <w:i w:val="0"/>
                <w:iCs w:val="0"/>
                <w:color w:val="000000"/>
                <w:kern w:val="0"/>
                <w:sz w:val="18"/>
                <w:szCs w:val="18"/>
                <w:highlight w:val="none"/>
                <w:u w:val="none"/>
                <w:lang w:val="en-US" w:eastAsia="zh-CN" w:bidi="ar"/>
              </w:rPr>
              <w:t>存：2GB</w:t>
            </w:r>
            <w:r>
              <w:rPr>
                <w:rFonts w:hint="eastAsia" w:ascii="宋体" w:hAnsi="宋体" w:eastAsia="宋体" w:cs="宋体"/>
                <w:i w:val="0"/>
                <w:iCs w:val="0"/>
                <w:color w:val="000000"/>
                <w:kern w:val="0"/>
                <w:sz w:val="18"/>
                <w:szCs w:val="18"/>
                <w:highlight w:val="none"/>
                <w:u w:val="none"/>
                <w:lang w:val="en-US" w:eastAsia="zh-CN" w:bidi="ar"/>
              </w:rPr>
              <w:tab/>
            </w:r>
          </w:p>
          <w:p w14:paraId="567751D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存</w:t>
            </w:r>
            <w:r>
              <w:rPr>
                <w:rFonts w:hint="eastAsia" w:ascii="宋体" w:hAnsi="宋体" w:eastAsia="宋体" w:cs="宋体"/>
                <w:i w:val="0"/>
                <w:iCs w:val="0"/>
                <w:color w:val="000000"/>
                <w:kern w:val="0"/>
                <w:sz w:val="18"/>
                <w:szCs w:val="18"/>
                <w:highlight w:val="none"/>
                <w:u w:val="none"/>
                <w:lang w:val="en-US" w:eastAsia="zh-CN" w:bidi="ar"/>
              </w:rPr>
              <w:tab/>
            </w:r>
            <w:r>
              <w:rPr>
                <w:rFonts w:hint="eastAsia" w:ascii="宋体" w:hAnsi="宋体" w:eastAsia="宋体" w:cs="宋体"/>
                <w:i w:val="0"/>
                <w:iCs w:val="0"/>
                <w:color w:val="000000"/>
                <w:kern w:val="0"/>
                <w:sz w:val="18"/>
                <w:szCs w:val="18"/>
                <w:highlight w:val="none"/>
                <w:u w:val="none"/>
                <w:lang w:val="en-US" w:eastAsia="zh-CN" w:bidi="ar"/>
              </w:rPr>
              <w:t>储：32GB</w:t>
            </w:r>
            <w:r>
              <w:rPr>
                <w:rFonts w:hint="eastAsia" w:ascii="宋体" w:hAnsi="宋体" w:eastAsia="宋体" w:cs="宋体"/>
                <w:i w:val="0"/>
                <w:iCs w:val="0"/>
                <w:color w:val="000000"/>
                <w:kern w:val="0"/>
                <w:sz w:val="18"/>
                <w:szCs w:val="18"/>
                <w:highlight w:val="none"/>
                <w:u w:val="none"/>
                <w:lang w:val="en-US" w:eastAsia="zh-CN" w:bidi="ar"/>
              </w:rPr>
              <w:tab/>
            </w:r>
          </w:p>
          <w:p w14:paraId="20EAC6F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中央 处理器：A55*5</w:t>
            </w:r>
            <w:r>
              <w:rPr>
                <w:rFonts w:hint="eastAsia" w:ascii="宋体" w:hAnsi="宋体" w:eastAsia="宋体" w:cs="宋体"/>
                <w:i w:val="0"/>
                <w:iCs w:val="0"/>
                <w:color w:val="000000"/>
                <w:kern w:val="0"/>
                <w:sz w:val="18"/>
                <w:szCs w:val="18"/>
                <w:highlight w:val="none"/>
                <w:u w:val="none"/>
                <w:lang w:val="en-US" w:eastAsia="zh-CN" w:bidi="ar"/>
              </w:rPr>
              <w:tab/>
            </w:r>
          </w:p>
          <w:p w14:paraId="3DF7E88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图形处理器：Mali G57 MC1</w:t>
            </w:r>
            <w:r>
              <w:rPr>
                <w:rFonts w:hint="eastAsia" w:ascii="宋体" w:hAnsi="宋体" w:eastAsia="宋体" w:cs="宋体"/>
                <w:i w:val="0"/>
                <w:iCs w:val="0"/>
                <w:color w:val="000000"/>
                <w:kern w:val="0"/>
                <w:sz w:val="18"/>
                <w:szCs w:val="18"/>
                <w:highlight w:val="none"/>
                <w:u w:val="none"/>
                <w:lang w:val="en-US" w:eastAsia="zh-CN" w:bidi="ar"/>
              </w:rPr>
              <w:tab/>
            </w:r>
          </w:p>
          <w:p w14:paraId="68DCBB9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WiFi 频段：2.4G/5G</w:t>
            </w:r>
            <w:r>
              <w:rPr>
                <w:rFonts w:hint="eastAsia" w:ascii="宋体" w:hAnsi="宋体" w:eastAsia="宋体" w:cs="宋体"/>
                <w:i w:val="0"/>
                <w:iCs w:val="0"/>
                <w:color w:val="000000"/>
                <w:kern w:val="0"/>
                <w:sz w:val="18"/>
                <w:szCs w:val="18"/>
                <w:highlight w:val="none"/>
                <w:u w:val="none"/>
                <w:lang w:val="en-US" w:eastAsia="zh-CN" w:bidi="ar"/>
              </w:rPr>
              <w:tab/>
            </w:r>
          </w:p>
          <w:p w14:paraId="05E2786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HDMI ：2.1*2+USB*2</w:t>
            </w:r>
          </w:p>
          <w:p w14:paraId="2864C09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接口：</w:t>
            </w:r>
            <w:r>
              <w:rPr>
                <w:rFonts w:hint="eastAsia" w:ascii="宋体" w:hAnsi="宋体" w:eastAsia="宋体" w:cs="宋体"/>
                <w:i w:val="0"/>
                <w:iCs w:val="0"/>
                <w:color w:val="000000"/>
                <w:kern w:val="0"/>
                <w:sz w:val="18"/>
                <w:szCs w:val="18"/>
                <w:highlight w:val="none"/>
                <w:u w:val="none"/>
                <w:lang w:val="en-US" w:eastAsia="zh-CN" w:bidi="ar"/>
              </w:rPr>
              <w:tab/>
            </w:r>
            <w:r>
              <w:rPr>
                <w:rFonts w:hint="eastAsia" w:ascii="宋体" w:hAnsi="宋体" w:eastAsia="宋体" w:cs="宋体"/>
                <w:i w:val="0"/>
                <w:iCs w:val="0"/>
                <w:color w:val="000000"/>
                <w:kern w:val="0"/>
                <w:sz w:val="18"/>
                <w:szCs w:val="18"/>
                <w:highlight w:val="none"/>
                <w:u w:val="none"/>
                <w:lang w:val="en-US" w:eastAsia="zh-CN" w:bidi="ar"/>
              </w:rPr>
              <w:t>AV输入*1+网络LAN*1</w:t>
            </w:r>
            <w:r>
              <w:rPr>
                <w:rFonts w:hint="eastAsia" w:ascii="宋体" w:hAnsi="宋体" w:eastAsia="宋体" w:cs="宋体"/>
                <w:i w:val="0"/>
                <w:iCs w:val="0"/>
                <w:color w:val="000000"/>
                <w:kern w:val="0"/>
                <w:sz w:val="18"/>
                <w:szCs w:val="18"/>
                <w:highlight w:val="none"/>
                <w:u w:val="none"/>
                <w:lang w:val="en-US" w:eastAsia="zh-CN" w:bidi="ar"/>
              </w:rPr>
              <w:tab/>
            </w:r>
          </w:p>
          <w:p w14:paraId="6436CA5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RF天线输入*1+数字音频输出*1</w:t>
            </w:r>
          </w:p>
          <w:p w14:paraId="3208A2A7">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尺寸大小：65吋</w:t>
            </w:r>
          </w:p>
          <w:p w14:paraId="08E7BE4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*120Hz 刷新模式</w:t>
            </w:r>
          </w:p>
          <w:p w14:paraId="338DB46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*超能芯片T2</w:t>
            </w:r>
          </w:p>
          <w:p w14:paraId="73E335E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*支持微信远程疾速投;</w:t>
            </w:r>
          </w:p>
          <w:p w14:paraId="0DBB557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*支持多屏互动APP;</w:t>
            </w:r>
            <w:r>
              <w:rPr>
                <w:rFonts w:hint="eastAsia" w:ascii="宋体" w:hAnsi="宋体" w:eastAsia="宋体" w:cs="宋体"/>
                <w:i w:val="0"/>
                <w:iCs w:val="0"/>
                <w:color w:val="000000"/>
                <w:kern w:val="0"/>
                <w:sz w:val="18"/>
                <w:szCs w:val="18"/>
                <w:highlight w:val="none"/>
                <w:u w:val="none"/>
                <w:lang w:val="en-US" w:eastAsia="zh-CN" w:bidi="ar"/>
              </w:rPr>
              <w:tab/>
            </w:r>
          </w:p>
          <w:p w14:paraId="1ACC741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*支持升级全向视角功能</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320C">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25</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18D6">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r>
      <w:tr w14:paraId="3E66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8"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FC5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黑白激光多功能一体机</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DE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ADF最大：216*356mm</w:t>
            </w:r>
          </w:p>
          <w:p w14:paraId="1FBC0EB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扫描格式 PDF，JPG，TIFF</w:t>
            </w:r>
          </w:p>
          <w:p w14:paraId="45F566B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色彩深度 24位</w:t>
            </w:r>
          </w:p>
          <w:p w14:paraId="384C94C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灰度等级 256级</w:t>
            </w:r>
          </w:p>
          <w:p w14:paraId="33F1C74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扫描其它性能 扫描到email，扫描到网络文件夹，扫面到U盘</w:t>
            </w:r>
          </w:p>
          <w:p w14:paraId="1EFCD39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介质规格</w:t>
            </w:r>
          </w:p>
          <w:p w14:paraId="45203BF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介质类型 （普通纸、节能纸、轻纸、厚纸、债券纸、彩色纸、信笺纸、预打印纸、预打孔纸、再生纸、粗糙纸</w:t>
            </w:r>
          </w:p>
          <w:p w14:paraId="61210CA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介质尺寸 纸盒1：76*127-216*356mm</w:t>
            </w:r>
          </w:p>
          <w:p w14:paraId="0F3E9D8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纸盒2：可选</w:t>
            </w:r>
          </w:p>
          <w:p w14:paraId="55392C6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纸盒3：100*148-216*356mm</w:t>
            </w:r>
          </w:p>
          <w:p w14:paraId="4ACE75D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介质重量 纸盒1：60-200g/㎡，纸盒3：60-120g/㎡</w:t>
            </w:r>
          </w:p>
          <w:p w14:paraId="1D7C511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供纸盒容量 纸盒1：100页，纸盒2：250页，纸盒3：550页，最大：900页</w:t>
            </w:r>
          </w:p>
          <w:p w14:paraId="24CAA85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输出容量 标准：150页，信封10个</w:t>
            </w:r>
          </w:p>
          <w:p w14:paraId="336F5D1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最大：150页</w:t>
            </w:r>
          </w:p>
          <w:p w14:paraId="3C377EA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其它参数</w:t>
            </w:r>
          </w:p>
          <w:p w14:paraId="5CF81DD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显示屏 2.7英寸</w:t>
            </w:r>
          </w:p>
          <w:p w14:paraId="03BD794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内存 512MB</w:t>
            </w:r>
          </w:p>
          <w:p w14:paraId="790E943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接口类型 10Base-T/100Base-TX/1000Base-T（RJ-45网络接口）</w:t>
            </w:r>
          </w:p>
          <w:p w14:paraId="7F75424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USB 2.0纠错</w:t>
            </w:r>
          </w:p>
          <w:p w14:paraId="27CE99E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电源电压 AC 220-240V，50/60Hz</w:t>
            </w:r>
          </w:p>
          <w:p w14:paraId="176B032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耗电量 210W</w:t>
            </w:r>
          </w:p>
          <w:p w14:paraId="1CDD539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产品尺寸 最小：420*390*323mm</w:t>
            </w:r>
          </w:p>
          <w:p w14:paraId="4C11941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最大：430*634*325mm</w:t>
            </w:r>
          </w:p>
          <w:p w14:paraId="49D2D66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环境参数 工作温度：10-32.5℃，工作湿度：30-80%RH（无凝结），存储温度：-20-40℃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0180">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23</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DEE7">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r>
    </w:tbl>
    <w:p w14:paraId="240F1DD1">
      <w:pPr>
        <w:pStyle w:val="4"/>
        <w:bidi w:val="0"/>
        <w:rPr>
          <w:rFonts w:hint="eastAsia"/>
          <w:highlight w:val="none"/>
          <w:lang w:val="en-US" w:eastAsia="zh-CN"/>
        </w:rPr>
      </w:pPr>
      <w:r>
        <w:rPr>
          <w:rFonts w:hint="eastAsia"/>
          <w:highlight w:val="none"/>
          <w:lang w:val="en-US" w:eastAsia="zh-CN"/>
        </w:rPr>
        <w:t>3.3医共体云服务建设内容</w:t>
      </w:r>
    </w:p>
    <w:tbl>
      <w:tblPr>
        <w:tblStyle w:val="15"/>
        <w:tblW w:w="87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446"/>
        <w:gridCol w:w="4699"/>
        <w:gridCol w:w="840"/>
        <w:gridCol w:w="975"/>
      </w:tblGrid>
      <w:tr w14:paraId="7F43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47235C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46"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782A3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4699"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036548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配置</w:t>
            </w:r>
          </w:p>
        </w:tc>
        <w:tc>
          <w:tcPr>
            <w:tcW w:w="840"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132735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EDEDED"/>
            <w:vAlign w:val="center"/>
          </w:tcPr>
          <w:p w14:paraId="738E5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r>
      <w:tr w14:paraId="0942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FC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1C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数据库服务器 </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D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7.0，16vCPUs 64GB；系统盘：高效云盘，50GB，1块；数据盘：高效云盘，2048GB ，1块；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66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1E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9B7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E5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66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数据库服务器 （虚拟化部署）TIDB组件</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4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7.0，16vCPUs 48GB；系统盘：高效云盘，50GB 1块；数据盘：高效云盘，256GB 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FF"/>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45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C7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827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6F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00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数据库服务器 （虚拟化部署）PD组件</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8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7.0，8vCPUs 32GB；系统盘：高效云盘，50GB，1块；数据盘：高效云盘，256GB，1块；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1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A7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6D5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E3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B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数据库服务器 （虚拟化部署）TIKV组件</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D3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7.0，16vCPUs 64GB；系统盘：高效云盘，50GB，1块；数据盘：高效云盘，1024GB，1块；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0000FF"/>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3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A0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5E8C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60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28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数据库服务器 （虚拟化部署）TIFLASH组件</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4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7.0，32vCPUs 64GB；系统盘：高效云盘，50GB，1块；数据盘：高效云盘，2048GB，1块；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w:t>
            </w:r>
            <w:r>
              <w:rPr>
                <w:rFonts w:hint="eastAsia" w:ascii="宋体" w:hAnsi="宋体" w:eastAsia="宋体" w:cs="宋体"/>
                <w:i w:val="0"/>
                <w:iCs w:val="0"/>
                <w:color w:val="000000"/>
                <w:kern w:val="0"/>
                <w:sz w:val="21"/>
                <w:szCs w:val="21"/>
                <w:highlight w:val="none"/>
                <w:u w:val="none"/>
                <w:lang w:val="en-US" w:eastAsia="zh-CN" w:bidi="ar"/>
              </w:rPr>
              <w:t>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2、云平台支持适配国产化操作系统。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云硬盘：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1.单盘最大IOPS满足高效</w:t>
            </w:r>
            <w:r>
              <w:rPr>
                <w:rFonts w:hint="eastAsia" w:ascii="宋体" w:hAnsi="宋体" w:eastAsia="宋体" w:cs="宋体"/>
                <w:i w:val="0"/>
                <w:iCs w:val="0"/>
                <w:color w:val="000000"/>
                <w:kern w:val="0"/>
                <w:sz w:val="18"/>
                <w:szCs w:val="18"/>
                <w:highlight w:val="none"/>
                <w:u w:val="none"/>
                <w:lang w:val="en-US" w:eastAsia="zh-CN" w:bidi="ar"/>
              </w:rPr>
              <w:t>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4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41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7E3B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6A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51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应用服务器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F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Windows Server 2012，16vCPUs 64GB；系统盘，高效云盘，50GB，1块；数据盘 高效云盘，1024GB，1块；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36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2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3A58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A1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4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应用服务器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DD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7.0，16vCPUs 32GB；系统盘：高效云盘，50GB，1块； 数据盘：高效云盘，256GB，1块；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B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58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802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85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C2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应用服务器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48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7.0，16vCPUs 32GB；系统盘：高效云盘，50GB，1块；数据盘：高效云盘，256GB，1块；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E1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2F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047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2A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A8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备份服务器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27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7.0，8vCPUs 16GB；系统盘：高效云盘，50GB，1块；数据盘：高效云盘，4096GB，1块；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B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E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022E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6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DF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ftp文件存储服务器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6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Windows Server 2016，8vCPUs 16GB；系统盘：高效云盘，50GB，1块；数据盘：高效云盘，2048GB ，1块；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71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9B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2211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9E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7A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远程会诊服务器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A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Windows Server 2012，8vCPUs 16GB， 系统盘：高效云盘，50GB，1块， 数据盘：高效云盘，512GB ，1块，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90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2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9F4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46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7E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数据库服务器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C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7.0，32vCPUs 32GB,；系统盘:高效云盘，50GB，1块；数据盘:高效云盘，1024GB，1块,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67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8A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B42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AC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4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应用服务器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E1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7.0，32vCPUs 32GB,；系统盘:高效云盘，50GB，1块；数据盘:高效云盘，512GB ，1块；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0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51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F87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5F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37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中间件服务器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53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7.0，32vCPUs 32GB；系统盘:高效云盘，50GB，1块；数据盘:高效云盘，1024GB ，1块；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4D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2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226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BC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05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备份服务器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A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CentOS 7.0，16vCPUs 32GB；系统盘:高效云盘，50GB，1块；数据盘:高效云盘，2048GB，1块；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云服务器：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云服务使用管理平台需具备用户自助服务界面，用户能够通过自助服务门户完成云资源申请、使用、修改、销毁等操作。通过自服务门户能够申请的服务包括但不限于云主机、云硬盘、云负载均衡、云数据库、云存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2、云平台支持适配国产化操作系统。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云硬盘：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1.单盘最大IOPS满足高效云盘3000、全闪云盘25000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2、访问时延高效云盘 10~12 、全闪云盘4~6，超高IO1~2ms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3、具有高可靠性，采用三副本机制，数据存储的持久性可达99.9999999%，服务可用性99.95%；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4、弹性可扩展，既支持通过单台云服务器挂载多块云硬盘的方式扩展存储空间，同时支持对单块云硬盘进行在线扩容。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1、提供灵活、多样、实时的图片处理服务，用户可将原始图片上传到OSS中，通过在请求URL中增加处理参数，即可实时对图片进行处理，包括图片缩放、格式转换，添加水印等功能。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2、云存储为用户提供运营商级的安全防护保障，全面保护用户数据的稳定持久，服务设计可用性不低于99.98%，数据设计持久性可达99.9999999999%。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3、数据以多副本和纠删码冗余方式存储在不同设备上，确保服务器、网络设备、磁盘等硬件故障时，仍可保证数据可用性和持久性。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4、支持AWS V4签名方式，HTTP请求参数和头信息均可参与签名计算，签名密钥不固定，有效防止数据在传输过程中被篡改。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3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DA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0AE8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46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1E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前置机</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96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CPU 处理器：主频≥2. 1GHz，核心数≥8核；内存：配置≥16GB DDR4内存；硬盘：配置512GB；</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网卡：配置≥2个万兆以太网口；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操作系统：支持Windows Server 2012 R2（64位）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C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9F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0F7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6F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85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等保三级安全包</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70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云主机安全，终端数：Linux 2 个    Windows 3 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云防火墙，购买组件数量：1 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云Web应用防火墙，站点数：1 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云防篡改，网站目录数：3 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云综合日志审计，资产数：1 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云数据库审计，实例数：1 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云堡垒机，资产数：1 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云漏洞扫描，资产数：1 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A1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7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A01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C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A5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互联网应用共享带宽</w:t>
            </w:r>
          </w:p>
        </w:tc>
        <w:tc>
          <w:tcPr>
            <w:tcW w:w="4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D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200M带宽</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0B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6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bl>
    <w:p w14:paraId="229B1C54">
      <w:pPr>
        <w:pStyle w:val="4"/>
        <w:bidi w:val="0"/>
        <w:rPr>
          <w:rFonts w:hint="eastAsia"/>
          <w:highlight w:val="none"/>
          <w:lang w:val="en-US" w:eastAsia="zh-CN"/>
        </w:rPr>
      </w:pPr>
      <w:r>
        <w:rPr>
          <w:rFonts w:hint="eastAsia"/>
          <w:highlight w:val="none"/>
          <w:lang w:val="en-US" w:eastAsia="zh-CN"/>
        </w:rPr>
        <w:t>3.4医共体信息中心电子显示屏</w:t>
      </w:r>
    </w:p>
    <w:tbl>
      <w:tblPr>
        <w:tblStyle w:val="15"/>
        <w:tblW w:w="84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6"/>
        <w:gridCol w:w="1595"/>
        <w:gridCol w:w="3990"/>
        <w:gridCol w:w="735"/>
        <w:gridCol w:w="660"/>
      </w:tblGrid>
      <w:tr w14:paraId="148C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451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大屏名称</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B2D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尺寸</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B2C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分辨率</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7657">
            <w:pPr>
              <w:keepNext w:val="0"/>
              <w:keepLines w:val="0"/>
              <w:widowControl/>
              <w:suppressLineNumbers w:val="0"/>
              <w:ind w:left="0" w:leftChars="0" w:firstLine="0" w:firstLineChars="0"/>
              <w:jc w:val="both"/>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935D">
            <w:pPr>
              <w:keepNext w:val="0"/>
              <w:keepLines w:val="0"/>
              <w:widowControl/>
              <w:suppressLineNumbers w:val="0"/>
              <w:ind w:left="0" w:leftChars="0" w:firstLine="0" w:firstLineChars="0"/>
              <w:jc w:val="both"/>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单位</w:t>
            </w:r>
          </w:p>
        </w:tc>
      </w:tr>
      <w:tr w14:paraId="54BF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9EE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信息中心正中大屏</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412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3.8*2.4=9.12㎡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8E7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物理分辨率≥1920×1080，物理拼缝双边相加0.88mm，亮度≥500cd/㎡， 对比度≥1400:1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B99">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EEDF">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r>
      <w:tr w14:paraId="0D27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94D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远程影像中心大屏</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34B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2.5*1.5=3.75㎡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D3D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物理分辨率≥1920×1080，物理拼缝双边相加0.88mm，亮度≥500cd/㎡， 对比度≥1400:1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2A5F">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B07A">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r>
    </w:tbl>
    <w:p w14:paraId="7FC104BF">
      <w:pPr>
        <w:numPr>
          <w:ilvl w:val="0"/>
          <w:numId w:val="0"/>
        </w:numPr>
        <w:ind w:leftChars="0"/>
        <w:rPr>
          <w:rFonts w:hint="eastAsia"/>
          <w:b/>
          <w:bCs/>
          <w:sz w:val="32"/>
          <w:szCs w:val="21"/>
          <w:highlight w:val="none"/>
          <w:lang w:val="en-US" w:eastAsia="zh-CN"/>
        </w:rPr>
      </w:pPr>
      <w:r>
        <w:rPr>
          <w:rFonts w:hint="eastAsia"/>
          <w:b/>
          <w:bCs/>
          <w:sz w:val="32"/>
          <w:szCs w:val="21"/>
          <w:highlight w:val="none"/>
          <w:lang w:val="en-US" w:eastAsia="zh-CN"/>
        </w:rPr>
        <w:t>四、在本文件中的相关符号标记项的解释说明</w:t>
      </w:r>
    </w:p>
    <w:p w14:paraId="5E49B235">
      <w:pPr>
        <w:numPr>
          <w:ilvl w:val="0"/>
          <w:numId w:val="35"/>
        </w:numPr>
        <w:ind w:left="560" w:leftChars="0" w:firstLine="0" w:firstLineChars="0"/>
        <w:rPr>
          <w:rFonts w:hint="eastAsia"/>
          <w:b/>
          <w:bCs/>
          <w:sz w:val="32"/>
          <w:szCs w:val="21"/>
          <w:highlight w:val="none"/>
          <w:lang w:val="en-US" w:eastAsia="zh-CN"/>
        </w:rPr>
      </w:pPr>
      <w:r>
        <w:rPr>
          <w:rFonts w:hint="eastAsia"/>
          <w:b/>
          <w:bCs/>
          <w:sz w:val="32"/>
          <w:szCs w:val="21"/>
          <w:highlight w:val="none"/>
          <w:lang w:val="en-US" w:eastAsia="zh-CN"/>
        </w:rPr>
        <w:t>标记“</w:t>
      </w:r>
      <w:r>
        <w:rPr>
          <w:rFonts w:hint="eastAsia" w:ascii="宋体" w:hAnsi="宋体" w:eastAsia="宋体" w:cs="宋体"/>
          <w:b/>
          <w:bCs/>
          <w:sz w:val="22"/>
          <w:szCs w:val="22"/>
          <w:highlight w:val="none"/>
        </w:rPr>
        <w:t>▲</w:t>
      </w:r>
      <w:r>
        <w:rPr>
          <w:rFonts w:hint="eastAsia"/>
          <w:b/>
          <w:bCs/>
          <w:sz w:val="32"/>
          <w:szCs w:val="21"/>
          <w:highlight w:val="none"/>
          <w:lang w:val="en-US" w:eastAsia="zh-CN"/>
        </w:rPr>
        <w:t>”的指标项在本文件中为重要指标。</w:t>
      </w:r>
    </w:p>
    <w:p w14:paraId="651A4EBE">
      <w:pPr>
        <w:numPr>
          <w:ilvl w:val="0"/>
          <w:numId w:val="35"/>
        </w:numPr>
        <w:ind w:left="560" w:leftChars="0" w:firstLine="0" w:firstLineChars="0"/>
        <w:rPr>
          <w:rFonts w:hint="default"/>
          <w:b/>
          <w:bCs/>
          <w:sz w:val="32"/>
          <w:szCs w:val="21"/>
          <w:highlight w:val="none"/>
          <w:lang w:val="en-US" w:eastAsia="zh-CN"/>
        </w:rPr>
      </w:pPr>
      <w:r>
        <w:rPr>
          <w:rFonts w:hint="eastAsia"/>
          <w:b/>
          <w:bCs/>
          <w:sz w:val="32"/>
          <w:szCs w:val="21"/>
          <w:highlight w:val="none"/>
          <w:lang w:val="en-US" w:eastAsia="zh-CN"/>
        </w:rPr>
        <w:t>标记“</w:t>
      </w:r>
      <w:r>
        <w:rPr>
          <w:rFonts w:hint="eastAsia" w:ascii="宋体" w:hAnsi="宋体" w:eastAsia="宋体" w:cs="宋体"/>
          <w:b/>
          <w:bCs/>
          <w:sz w:val="28"/>
          <w:szCs w:val="28"/>
        </w:rPr>
        <w:t>★</w:t>
      </w:r>
      <w:r>
        <w:rPr>
          <w:rFonts w:hint="eastAsia"/>
          <w:b/>
          <w:bCs/>
          <w:sz w:val="32"/>
          <w:szCs w:val="21"/>
          <w:highlight w:val="none"/>
          <w:lang w:val="en-US" w:eastAsia="zh-CN"/>
        </w:rPr>
        <w:t>”的指标项在本文件中为核心指标。</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01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334B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4334B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7F0E4"/>
    <w:multiLevelType w:val="singleLevel"/>
    <w:tmpl w:val="8297F0E4"/>
    <w:lvl w:ilvl="0" w:tentative="0">
      <w:start w:val="1"/>
      <w:numFmt w:val="decimal"/>
      <w:lvlText w:val="(%1)"/>
      <w:lvlJc w:val="left"/>
      <w:pPr>
        <w:tabs>
          <w:tab w:val="left" w:pos="420"/>
        </w:tabs>
        <w:ind w:left="425" w:leftChars="0" w:hanging="425" w:firstLineChars="0"/>
      </w:pPr>
      <w:rPr>
        <w:rFonts w:hint="default"/>
      </w:rPr>
    </w:lvl>
  </w:abstractNum>
  <w:abstractNum w:abstractNumId="1">
    <w:nsid w:val="83F82AA8"/>
    <w:multiLevelType w:val="singleLevel"/>
    <w:tmpl w:val="83F82AA8"/>
    <w:lvl w:ilvl="0" w:tentative="0">
      <w:start w:val="1"/>
      <w:numFmt w:val="decimal"/>
      <w:lvlText w:val="(%1)"/>
      <w:lvlJc w:val="left"/>
      <w:pPr>
        <w:tabs>
          <w:tab w:val="left" w:pos="420"/>
        </w:tabs>
        <w:ind w:left="425" w:leftChars="0" w:hanging="425" w:firstLineChars="0"/>
      </w:pPr>
      <w:rPr>
        <w:rFonts w:hint="default"/>
      </w:rPr>
    </w:lvl>
  </w:abstractNum>
  <w:abstractNum w:abstractNumId="2">
    <w:nsid w:val="870A3EF3"/>
    <w:multiLevelType w:val="singleLevel"/>
    <w:tmpl w:val="870A3EF3"/>
    <w:lvl w:ilvl="0" w:tentative="0">
      <w:start w:val="1"/>
      <w:numFmt w:val="decimal"/>
      <w:lvlText w:val="(%1)"/>
      <w:lvlJc w:val="left"/>
      <w:pPr>
        <w:tabs>
          <w:tab w:val="left" w:pos="420"/>
        </w:tabs>
        <w:ind w:left="425" w:leftChars="0" w:hanging="425" w:firstLineChars="0"/>
      </w:pPr>
      <w:rPr>
        <w:rFonts w:hint="default"/>
      </w:rPr>
    </w:lvl>
  </w:abstractNum>
  <w:abstractNum w:abstractNumId="3">
    <w:nsid w:val="8DD4B003"/>
    <w:multiLevelType w:val="singleLevel"/>
    <w:tmpl w:val="8DD4B003"/>
    <w:lvl w:ilvl="0" w:tentative="0">
      <w:start w:val="1"/>
      <w:numFmt w:val="decimal"/>
      <w:suff w:val="nothing"/>
      <w:lvlText w:val="（%1）"/>
      <w:lvlJc w:val="left"/>
    </w:lvl>
  </w:abstractNum>
  <w:abstractNum w:abstractNumId="4">
    <w:nsid w:val="99702B07"/>
    <w:multiLevelType w:val="singleLevel"/>
    <w:tmpl w:val="99702B07"/>
    <w:lvl w:ilvl="0" w:tentative="0">
      <w:start w:val="1"/>
      <w:numFmt w:val="decimal"/>
      <w:lvlText w:val="(%1)"/>
      <w:lvlJc w:val="left"/>
      <w:pPr>
        <w:tabs>
          <w:tab w:val="left" w:pos="420"/>
        </w:tabs>
        <w:ind w:left="425" w:leftChars="0" w:hanging="425" w:firstLineChars="0"/>
      </w:pPr>
      <w:rPr>
        <w:rFonts w:hint="default"/>
      </w:rPr>
    </w:lvl>
  </w:abstractNum>
  <w:abstractNum w:abstractNumId="5">
    <w:nsid w:val="9B29AA1C"/>
    <w:multiLevelType w:val="singleLevel"/>
    <w:tmpl w:val="9B29AA1C"/>
    <w:lvl w:ilvl="0" w:tentative="0">
      <w:start w:val="1"/>
      <w:numFmt w:val="decimal"/>
      <w:lvlText w:val="(%1)"/>
      <w:lvlJc w:val="left"/>
      <w:pPr>
        <w:tabs>
          <w:tab w:val="left" w:pos="420"/>
        </w:tabs>
        <w:ind w:left="425" w:leftChars="0" w:hanging="425" w:firstLineChars="0"/>
      </w:pPr>
      <w:rPr>
        <w:rFonts w:hint="default"/>
      </w:rPr>
    </w:lvl>
  </w:abstractNum>
  <w:abstractNum w:abstractNumId="6">
    <w:nsid w:val="9EC31B00"/>
    <w:multiLevelType w:val="singleLevel"/>
    <w:tmpl w:val="9EC31B00"/>
    <w:lvl w:ilvl="0" w:tentative="0">
      <w:start w:val="1"/>
      <w:numFmt w:val="decimal"/>
      <w:lvlText w:val="(%1)"/>
      <w:lvlJc w:val="left"/>
      <w:pPr>
        <w:tabs>
          <w:tab w:val="left" w:pos="420"/>
        </w:tabs>
        <w:ind w:left="425" w:leftChars="0" w:hanging="425" w:firstLineChars="0"/>
      </w:pPr>
      <w:rPr>
        <w:rFonts w:hint="default"/>
      </w:rPr>
    </w:lvl>
  </w:abstractNum>
  <w:abstractNum w:abstractNumId="7">
    <w:nsid w:val="AA14C759"/>
    <w:multiLevelType w:val="singleLevel"/>
    <w:tmpl w:val="AA14C759"/>
    <w:lvl w:ilvl="0" w:tentative="0">
      <w:start w:val="1"/>
      <w:numFmt w:val="decimal"/>
      <w:lvlText w:val="(%1)"/>
      <w:lvlJc w:val="left"/>
      <w:pPr>
        <w:tabs>
          <w:tab w:val="left" w:pos="420"/>
        </w:tabs>
        <w:ind w:left="425" w:leftChars="0" w:hanging="425" w:firstLineChars="0"/>
      </w:pPr>
      <w:rPr>
        <w:rFonts w:hint="default"/>
      </w:rPr>
    </w:lvl>
  </w:abstractNum>
  <w:abstractNum w:abstractNumId="8">
    <w:nsid w:val="B36B8D0A"/>
    <w:multiLevelType w:val="singleLevel"/>
    <w:tmpl w:val="B36B8D0A"/>
    <w:lvl w:ilvl="0" w:tentative="0">
      <w:start w:val="1"/>
      <w:numFmt w:val="decimal"/>
      <w:lvlText w:val="(%1)"/>
      <w:lvlJc w:val="left"/>
      <w:pPr>
        <w:tabs>
          <w:tab w:val="left" w:pos="420"/>
        </w:tabs>
        <w:ind w:left="425" w:leftChars="0" w:hanging="425" w:firstLineChars="0"/>
      </w:pPr>
      <w:rPr>
        <w:rFonts w:hint="default"/>
      </w:rPr>
    </w:lvl>
  </w:abstractNum>
  <w:abstractNum w:abstractNumId="9">
    <w:nsid w:val="B77CEAA0"/>
    <w:multiLevelType w:val="singleLevel"/>
    <w:tmpl w:val="B77CEAA0"/>
    <w:lvl w:ilvl="0" w:tentative="0">
      <w:start w:val="1"/>
      <w:numFmt w:val="decimal"/>
      <w:suff w:val="nothing"/>
      <w:lvlText w:val="（%1）"/>
      <w:lvlJc w:val="left"/>
      <w:pPr>
        <w:ind w:left="-840"/>
      </w:pPr>
    </w:lvl>
  </w:abstractNum>
  <w:abstractNum w:abstractNumId="10">
    <w:nsid w:val="BA0149A9"/>
    <w:multiLevelType w:val="singleLevel"/>
    <w:tmpl w:val="BA0149A9"/>
    <w:lvl w:ilvl="0" w:tentative="0">
      <w:start w:val="1"/>
      <w:numFmt w:val="decimal"/>
      <w:lvlText w:val="(%1)"/>
      <w:lvlJc w:val="left"/>
      <w:pPr>
        <w:tabs>
          <w:tab w:val="left" w:pos="420"/>
        </w:tabs>
        <w:ind w:left="425" w:leftChars="0" w:hanging="425" w:firstLineChars="0"/>
      </w:pPr>
      <w:rPr>
        <w:rFonts w:hint="default"/>
      </w:rPr>
    </w:lvl>
  </w:abstractNum>
  <w:abstractNum w:abstractNumId="11">
    <w:nsid w:val="C1822F53"/>
    <w:multiLevelType w:val="singleLevel"/>
    <w:tmpl w:val="C1822F53"/>
    <w:lvl w:ilvl="0" w:tentative="0">
      <w:start w:val="1"/>
      <w:numFmt w:val="decimal"/>
      <w:lvlText w:val="(%1)"/>
      <w:lvlJc w:val="left"/>
      <w:pPr>
        <w:tabs>
          <w:tab w:val="left" w:pos="420"/>
        </w:tabs>
        <w:ind w:left="425" w:leftChars="0" w:hanging="425" w:firstLineChars="0"/>
      </w:pPr>
      <w:rPr>
        <w:rFonts w:hint="default"/>
      </w:rPr>
    </w:lvl>
  </w:abstractNum>
  <w:abstractNum w:abstractNumId="12">
    <w:nsid w:val="C2F1758A"/>
    <w:multiLevelType w:val="singleLevel"/>
    <w:tmpl w:val="C2F1758A"/>
    <w:lvl w:ilvl="0" w:tentative="0">
      <w:start w:val="1"/>
      <w:numFmt w:val="decimal"/>
      <w:lvlText w:val="(%1)"/>
      <w:lvlJc w:val="left"/>
      <w:pPr>
        <w:tabs>
          <w:tab w:val="left" w:pos="420"/>
        </w:tabs>
        <w:ind w:left="425" w:leftChars="0" w:hanging="425" w:firstLineChars="0"/>
      </w:pPr>
      <w:rPr>
        <w:rFonts w:hint="default"/>
      </w:rPr>
    </w:lvl>
  </w:abstractNum>
  <w:abstractNum w:abstractNumId="13">
    <w:nsid w:val="CEA04B0B"/>
    <w:multiLevelType w:val="singleLevel"/>
    <w:tmpl w:val="CEA04B0B"/>
    <w:lvl w:ilvl="0" w:tentative="0">
      <w:start w:val="1"/>
      <w:numFmt w:val="decimal"/>
      <w:lvlText w:val="(%1)"/>
      <w:lvlJc w:val="left"/>
      <w:pPr>
        <w:tabs>
          <w:tab w:val="left" w:pos="420"/>
        </w:tabs>
        <w:ind w:left="425" w:leftChars="0" w:hanging="425" w:firstLineChars="0"/>
      </w:pPr>
      <w:rPr>
        <w:rFonts w:hint="default"/>
      </w:rPr>
    </w:lvl>
  </w:abstractNum>
  <w:abstractNum w:abstractNumId="14">
    <w:nsid w:val="D00C5A4D"/>
    <w:multiLevelType w:val="singleLevel"/>
    <w:tmpl w:val="D00C5A4D"/>
    <w:lvl w:ilvl="0" w:tentative="0">
      <w:start w:val="1"/>
      <w:numFmt w:val="decimal"/>
      <w:lvlText w:val="(%1)"/>
      <w:lvlJc w:val="left"/>
      <w:pPr>
        <w:tabs>
          <w:tab w:val="left" w:pos="420"/>
        </w:tabs>
        <w:ind w:left="425" w:leftChars="0" w:hanging="425" w:firstLineChars="0"/>
      </w:pPr>
      <w:rPr>
        <w:rFonts w:hint="default"/>
      </w:rPr>
    </w:lvl>
  </w:abstractNum>
  <w:abstractNum w:abstractNumId="15">
    <w:nsid w:val="D9C5144A"/>
    <w:multiLevelType w:val="singleLevel"/>
    <w:tmpl w:val="D9C5144A"/>
    <w:lvl w:ilvl="0" w:tentative="0">
      <w:start w:val="1"/>
      <w:numFmt w:val="decimal"/>
      <w:lvlText w:val="(%1)"/>
      <w:lvlJc w:val="left"/>
      <w:pPr>
        <w:tabs>
          <w:tab w:val="left" w:pos="420"/>
        </w:tabs>
        <w:ind w:left="425" w:leftChars="0" w:hanging="425" w:firstLineChars="0"/>
      </w:pPr>
      <w:rPr>
        <w:rFonts w:hint="default"/>
      </w:rPr>
    </w:lvl>
  </w:abstractNum>
  <w:abstractNum w:abstractNumId="16">
    <w:nsid w:val="DBA4A7B8"/>
    <w:multiLevelType w:val="singleLevel"/>
    <w:tmpl w:val="DBA4A7B8"/>
    <w:lvl w:ilvl="0" w:tentative="0">
      <w:start w:val="1"/>
      <w:numFmt w:val="decimal"/>
      <w:lvlText w:val="(%1)"/>
      <w:lvlJc w:val="left"/>
      <w:pPr>
        <w:tabs>
          <w:tab w:val="left" w:pos="420"/>
        </w:tabs>
        <w:ind w:left="425" w:leftChars="0" w:hanging="425" w:firstLineChars="0"/>
      </w:pPr>
      <w:rPr>
        <w:rFonts w:hint="default"/>
      </w:rPr>
    </w:lvl>
  </w:abstractNum>
  <w:abstractNum w:abstractNumId="17">
    <w:nsid w:val="DE02E302"/>
    <w:multiLevelType w:val="singleLevel"/>
    <w:tmpl w:val="DE02E302"/>
    <w:lvl w:ilvl="0" w:tentative="0">
      <w:start w:val="1"/>
      <w:numFmt w:val="decimal"/>
      <w:lvlText w:val="(%1)"/>
      <w:lvlJc w:val="left"/>
      <w:pPr>
        <w:tabs>
          <w:tab w:val="left" w:pos="420"/>
        </w:tabs>
        <w:ind w:left="425" w:leftChars="0" w:hanging="425" w:firstLineChars="0"/>
      </w:pPr>
      <w:rPr>
        <w:rFonts w:hint="default"/>
      </w:rPr>
    </w:lvl>
  </w:abstractNum>
  <w:abstractNum w:abstractNumId="18">
    <w:nsid w:val="E5702A44"/>
    <w:multiLevelType w:val="singleLevel"/>
    <w:tmpl w:val="E5702A44"/>
    <w:lvl w:ilvl="0" w:tentative="0">
      <w:start w:val="1"/>
      <w:numFmt w:val="decimal"/>
      <w:lvlText w:val="(%1)"/>
      <w:lvlJc w:val="left"/>
      <w:pPr>
        <w:tabs>
          <w:tab w:val="left" w:pos="420"/>
        </w:tabs>
        <w:ind w:left="425" w:leftChars="0" w:hanging="425" w:firstLineChars="0"/>
      </w:pPr>
      <w:rPr>
        <w:rFonts w:hint="default"/>
      </w:rPr>
    </w:lvl>
  </w:abstractNum>
  <w:abstractNum w:abstractNumId="19">
    <w:nsid w:val="F90F6179"/>
    <w:multiLevelType w:val="singleLevel"/>
    <w:tmpl w:val="F90F6179"/>
    <w:lvl w:ilvl="0" w:tentative="0">
      <w:start w:val="1"/>
      <w:numFmt w:val="decimal"/>
      <w:lvlText w:val="(%1)"/>
      <w:lvlJc w:val="left"/>
      <w:pPr>
        <w:tabs>
          <w:tab w:val="left" w:pos="420"/>
        </w:tabs>
        <w:ind w:left="425" w:leftChars="0" w:hanging="425" w:firstLineChars="0"/>
      </w:pPr>
      <w:rPr>
        <w:rFonts w:hint="default"/>
      </w:rPr>
    </w:lvl>
  </w:abstractNum>
  <w:abstractNum w:abstractNumId="20">
    <w:nsid w:val="FB08DE13"/>
    <w:multiLevelType w:val="singleLevel"/>
    <w:tmpl w:val="FB08DE13"/>
    <w:lvl w:ilvl="0" w:tentative="0">
      <w:start w:val="1"/>
      <w:numFmt w:val="decimal"/>
      <w:lvlText w:val="(%1)"/>
      <w:lvlJc w:val="left"/>
      <w:pPr>
        <w:tabs>
          <w:tab w:val="left" w:pos="420"/>
        </w:tabs>
        <w:ind w:left="425" w:leftChars="0" w:hanging="425" w:firstLineChars="0"/>
      </w:pPr>
      <w:rPr>
        <w:rFonts w:hint="default"/>
      </w:rPr>
    </w:lvl>
  </w:abstractNum>
  <w:abstractNum w:abstractNumId="21">
    <w:nsid w:val="077B8986"/>
    <w:multiLevelType w:val="singleLevel"/>
    <w:tmpl w:val="077B8986"/>
    <w:lvl w:ilvl="0" w:tentative="0">
      <w:start w:val="1"/>
      <w:numFmt w:val="decimal"/>
      <w:lvlText w:val="(%1)"/>
      <w:lvlJc w:val="left"/>
      <w:pPr>
        <w:tabs>
          <w:tab w:val="left" w:pos="420"/>
        </w:tabs>
        <w:ind w:left="425" w:leftChars="0" w:hanging="425" w:firstLineChars="0"/>
      </w:pPr>
      <w:rPr>
        <w:rFonts w:hint="default"/>
      </w:rPr>
    </w:lvl>
  </w:abstractNum>
  <w:abstractNum w:abstractNumId="22">
    <w:nsid w:val="09A607C3"/>
    <w:multiLevelType w:val="singleLevel"/>
    <w:tmpl w:val="09A607C3"/>
    <w:lvl w:ilvl="0" w:tentative="0">
      <w:start w:val="1"/>
      <w:numFmt w:val="decimal"/>
      <w:suff w:val="nothing"/>
      <w:lvlText w:val="（%1）"/>
      <w:lvlJc w:val="left"/>
      <w:pPr>
        <w:ind w:left="560" w:leftChars="0" w:firstLine="0" w:firstLineChars="0"/>
      </w:pPr>
    </w:lvl>
  </w:abstractNum>
  <w:abstractNum w:abstractNumId="23">
    <w:nsid w:val="0A9E777D"/>
    <w:multiLevelType w:val="multilevel"/>
    <w:tmpl w:val="0A9E777D"/>
    <w:lvl w:ilvl="0" w:tentative="0">
      <w:start w:val="1"/>
      <w:numFmt w:val="decimal"/>
      <w:pStyle w:val="20"/>
      <w:suff w:val="nothing"/>
      <w:lvlText w:val="（%1）"/>
      <w:lvlJc w:val="left"/>
      <w:pPr>
        <w:ind w:left="-400" w:firstLine="40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B3E22F1"/>
    <w:multiLevelType w:val="singleLevel"/>
    <w:tmpl w:val="1B3E22F1"/>
    <w:lvl w:ilvl="0" w:tentative="0">
      <w:start w:val="1"/>
      <w:numFmt w:val="decimal"/>
      <w:lvlText w:val="(%1)"/>
      <w:lvlJc w:val="left"/>
      <w:pPr>
        <w:tabs>
          <w:tab w:val="left" w:pos="420"/>
        </w:tabs>
        <w:ind w:left="425" w:leftChars="0" w:hanging="425" w:firstLineChars="0"/>
      </w:pPr>
      <w:rPr>
        <w:rFonts w:hint="default"/>
      </w:rPr>
    </w:lvl>
  </w:abstractNum>
  <w:abstractNum w:abstractNumId="25">
    <w:nsid w:val="1E83F111"/>
    <w:multiLevelType w:val="singleLevel"/>
    <w:tmpl w:val="1E83F111"/>
    <w:lvl w:ilvl="0" w:tentative="0">
      <w:start w:val="1"/>
      <w:numFmt w:val="decimal"/>
      <w:lvlText w:val="(%1)"/>
      <w:lvlJc w:val="left"/>
      <w:pPr>
        <w:tabs>
          <w:tab w:val="left" w:pos="420"/>
        </w:tabs>
        <w:ind w:left="425" w:leftChars="0" w:hanging="425" w:firstLineChars="0"/>
      </w:pPr>
      <w:rPr>
        <w:rFonts w:hint="default"/>
      </w:rPr>
    </w:lvl>
  </w:abstractNum>
  <w:abstractNum w:abstractNumId="26">
    <w:nsid w:val="22D7B689"/>
    <w:multiLevelType w:val="singleLevel"/>
    <w:tmpl w:val="22D7B689"/>
    <w:lvl w:ilvl="0" w:tentative="0">
      <w:start w:val="1"/>
      <w:numFmt w:val="decimal"/>
      <w:lvlText w:val="(%1)"/>
      <w:lvlJc w:val="left"/>
      <w:pPr>
        <w:tabs>
          <w:tab w:val="left" w:pos="420"/>
        </w:tabs>
        <w:ind w:left="425" w:leftChars="0" w:hanging="425" w:firstLineChars="0"/>
      </w:pPr>
      <w:rPr>
        <w:rFonts w:hint="default"/>
      </w:rPr>
    </w:lvl>
  </w:abstractNum>
  <w:abstractNum w:abstractNumId="27">
    <w:nsid w:val="38B123D3"/>
    <w:multiLevelType w:val="multilevel"/>
    <w:tmpl w:val="38B123D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A3A3DC5"/>
    <w:multiLevelType w:val="singleLevel"/>
    <w:tmpl w:val="4A3A3DC5"/>
    <w:lvl w:ilvl="0" w:tentative="0">
      <w:start w:val="1"/>
      <w:numFmt w:val="decimal"/>
      <w:lvlText w:val="(%1)"/>
      <w:lvlJc w:val="left"/>
      <w:pPr>
        <w:tabs>
          <w:tab w:val="left" w:pos="420"/>
        </w:tabs>
        <w:ind w:left="425" w:leftChars="0" w:hanging="425" w:firstLineChars="0"/>
      </w:pPr>
      <w:rPr>
        <w:rFonts w:hint="default"/>
      </w:rPr>
    </w:lvl>
  </w:abstractNum>
  <w:abstractNum w:abstractNumId="29">
    <w:nsid w:val="4CAB08D6"/>
    <w:multiLevelType w:val="singleLevel"/>
    <w:tmpl w:val="4CAB08D6"/>
    <w:lvl w:ilvl="0" w:tentative="0">
      <w:start w:val="1"/>
      <w:numFmt w:val="decimal"/>
      <w:lvlText w:val="(%1)"/>
      <w:lvlJc w:val="left"/>
      <w:pPr>
        <w:tabs>
          <w:tab w:val="left" w:pos="420"/>
        </w:tabs>
        <w:ind w:left="425" w:leftChars="0" w:hanging="425" w:firstLineChars="0"/>
      </w:pPr>
      <w:rPr>
        <w:rFonts w:hint="default"/>
      </w:rPr>
    </w:lvl>
  </w:abstractNum>
  <w:abstractNum w:abstractNumId="30">
    <w:nsid w:val="5DC2D016"/>
    <w:multiLevelType w:val="singleLevel"/>
    <w:tmpl w:val="5DC2D016"/>
    <w:lvl w:ilvl="0" w:tentative="0">
      <w:start w:val="1"/>
      <w:numFmt w:val="decimal"/>
      <w:lvlText w:val="(%1)"/>
      <w:lvlJc w:val="left"/>
      <w:pPr>
        <w:tabs>
          <w:tab w:val="left" w:pos="420"/>
        </w:tabs>
        <w:ind w:left="425" w:leftChars="0" w:hanging="425" w:firstLineChars="0"/>
      </w:pPr>
      <w:rPr>
        <w:rFonts w:hint="default"/>
      </w:rPr>
    </w:lvl>
  </w:abstractNum>
  <w:abstractNum w:abstractNumId="31">
    <w:nsid w:val="72171EDD"/>
    <w:multiLevelType w:val="multilevel"/>
    <w:tmpl w:val="72171EDD"/>
    <w:lvl w:ilvl="0" w:tentative="0">
      <w:start w:val="1"/>
      <w:numFmt w:val="japaneseCounting"/>
      <w:lvlText w:val="%1、"/>
      <w:lvlJc w:val="left"/>
      <w:pPr>
        <w:ind w:left="420" w:hanging="420"/>
      </w:pPr>
      <w:rPr>
        <w:rFonts w:hint="default"/>
      </w:rPr>
    </w:lvl>
    <w:lvl w:ilvl="1" w:tentative="0">
      <w:start w:val="1"/>
      <w:numFmt w:val="decimal"/>
      <w:lvlText w:val="%2、"/>
      <w:lvlJc w:val="left"/>
      <w:pPr>
        <w:ind w:left="1140" w:hanging="720"/>
      </w:pPr>
      <w:rPr>
        <w:rFonts w:hint="default" w:ascii="仿宋" w:hAnsi="仿宋" w:eastAsia="仿宋"/>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427216A"/>
    <w:multiLevelType w:val="singleLevel"/>
    <w:tmpl w:val="7427216A"/>
    <w:lvl w:ilvl="0" w:tentative="0">
      <w:start w:val="1"/>
      <w:numFmt w:val="decimal"/>
      <w:lvlText w:val="(%1)"/>
      <w:lvlJc w:val="left"/>
      <w:pPr>
        <w:tabs>
          <w:tab w:val="left" w:pos="420"/>
        </w:tabs>
        <w:ind w:left="425" w:leftChars="0" w:hanging="425" w:firstLineChars="0"/>
      </w:pPr>
      <w:rPr>
        <w:rFonts w:hint="default"/>
      </w:rPr>
    </w:lvl>
  </w:abstractNum>
  <w:abstractNum w:abstractNumId="33">
    <w:nsid w:val="77E96A37"/>
    <w:multiLevelType w:val="singleLevel"/>
    <w:tmpl w:val="77E96A37"/>
    <w:lvl w:ilvl="0" w:tentative="0">
      <w:start w:val="1"/>
      <w:numFmt w:val="decimal"/>
      <w:suff w:val="nothing"/>
      <w:lvlText w:val="（%1）"/>
      <w:lvlJc w:val="left"/>
    </w:lvl>
  </w:abstractNum>
  <w:abstractNum w:abstractNumId="34">
    <w:nsid w:val="79980910"/>
    <w:multiLevelType w:val="singleLevel"/>
    <w:tmpl w:val="79980910"/>
    <w:lvl w:ilvl="0" w:tentative="0">
      <w:start w:val="1"/>
      <w:numFmt w:val="decimal"/>
      <w:lvlText w:val="(%1)"/>
      <w:lvlJc w:val="left"/>
      <w:pPr>
        <w:tabs>
          <w:tab w:val="left" w:pos="420"/>
        </w:tabs>
        <w:ind w:left="425" w:leftChars="0" w:hanging="425" w:firstLineChars="0"/>
      </w:pPr>
      <w:rPr>
        <w:rFonts w:hint="default"/>
      </w:rPr>
    </w:lvl>
  </w:abstractNum>
  <w:num w:numId="1">
    <w:abstractNumId w:val="23"/>
  </w:num>
  <w:num w:numId="2">
    <w:abstractNumId w:val="31"/>
  </w:num>
  <w:num w:numId="3">
    <w:abstractNumId w:val="24"/>
  </w:num>
  <w:num w:numId="4">
    <w:abstractNumId w:val="33"/>
  </w:num>
  <w:num w:numId="5">
    <w:abstractNumId w:val="3"/>
  </w:num>
  <w:num w:numId="6">
    <w:abstractNumId w:val="9"/>
  </w:num>
  <w:num w:numId="7">
    <w:abstractNumId w:val="27"/>
  </w:num>
  <w:num w:numId="8">
    <w:abstractNumId w:val="14"/>
  </w:num>
  <w:num w:numId="9">
    <w:abstractNumId w:val="13"/>
  </w:num>
  <w:num w:numId="10">
    <w:abstractNumId w:val="4"/>
  </w:num>
  <w:num w:numId="11">
    <w:abstractNumId w:val="16"/>
  </w:num>
  <w:num w:numId="12">
    <w:abstractNumId w:val="5"/>
  </w:num>
  <w:num w:numId="13">
    <w:abstractNumId w:val="6"/>
  </w:num>
  <w:num w:numId="14">
    <w:abstractNumId w:val="20"/>
  </w:num>
  <w:num w:numId="15">
    <w:abstractNumId w:val="10"/>
  </w:num>
  <w:num w:numId="16">
    <w:abstractNumId w:val="28"/>
  </w:num>
  <w:num w:numId="17">
    <w:abstractNumId w:val="7"/>
  </w:num>
  <w:num w:numId="18">
    <w:abstractNumId w:val="12"/>
  </w:num>
  <w:num w:numId="19">
    <w:abstractNumId w:val="8"/>
  </w:num>
  <w:num w:numId="20">
    <w:abstractNumId w:val="19"/>
  </w:num>
  <w:num w:numId="21">
    <w:abstractNumId w:val="34"/>
  </w:num>
  <w:num w:numId="22">
    <w:abstractNumId w:val="29"/>
  </w:num>
  <w:num w:numId="23">
    <w:abstractNumId w:val="1"/>
  </w:num>
  <w:num w:numId="24">
    <w:abstractNumId w:val="2"/>
  </w:num>
  <w:num w:numId="25">
    <w:abstractNumId w:val="15"/>
  </w:num>
  <w:num w:numId="26">
    <w:abstractNumId w:val="30"/>
  </w:num>
  <w:num w:numId="27">
    <w:abstractNumId w:val="25"/>
  </w:num>
  <w:num w:numId="28">
    <w:abstractNumId w:val="32"/>
  </w:num>
  <w:num w:numId="29">
    <w:abstractNumId w:val="0"/>
  </w:num>
  <w:num w:numId="30">
    <w:abstractNumId w:val="18"/>
  </w:num>
  <w:num w:numId="31">
    <w:abstractNumId w:val="17"/>
  </w:num>
  <w:num w:numId="32">
    <w:abstractNumId w:val="11"/>
  </w:num>
  <w:num w:numId="33">
    <w:abstractNumId w:val="26"/>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YWUzZmIwYTg5MWU4OTU1NmZmZmEyMDEyMjk4ODcifQ=="/>
  </w:docVars>
  <w:rsids>
    <w:rsidRoot w:val="00000000"/>
    <w:rsid w:val="031C3ADD"/>
    <w:rsid w:val="033268D3"/>
    <w:rsid w:val="033F612B"/>
    <w:rsid w:val="03F43A4B"/>
    <w:rsid w:val="05B922DB"/>
    <w:rsid w:val="0DC047D2"/>
    <w:rsid w:val="0ECD6997"/>
    <w:rsid w:val="0F4C5CAC"/>
    <w:rsid w:val="112203E9"/>
    <w:rsid w:val="117874EE"/>
    <w:rsid w:val="1FF11597"/>
    <w:rsid w:val="22746F29"/>
    <w:rsid w:val="22A26ED8"/>
    <w:rsid w:val="24AA2E7B"/>
    <w:rsid w:val="24FD24CA"/>
    <w:rsid w:val="27375C8E"/>
    <w:rsid w:val="28482950"/>
    <w:rsid w:val="2B125D95"/>
    <w:rsid w:val="2BDF043E"/>
    <w:rsid w:val="2D3C5005"/>
    <w:rsid w:val="332B7C4C"/>
    <w:rsid w:val="34C56938"/>
    <w:rsid w:val="3A1D4C55"/>
    <w:rsid w:val="3F75604A"/>
    <w:rsid w:val="413C16CB"/>
    <w:rsid w:val="433B3F5B"/>
    <w:rsid w:val="445773FA"/>
    <w:rsid w:val="46022A5D"/>
    <w:rsid w:val="4EE23503"/>
    <w:rsid w:val="4F25341F"/>
    <w:rsid w:val="50603874"/>
    <w:rsid w:val="52507F94"/>
    <w:rsid w:val="589C5C2B"/>
    <w:rsid w:val="595002E9"/>
    <w:rsid w:val="5C9F1EC3"/>
    <w:rsid w:val="5E2C207C"/>
    <w:rsid w:val="60E03D35"/>
    <w:rsid w:val="64C51084"/>
    <w:rsid w:val="69F81855"/>
    <w:rsid w:val="6A8D2C1C"/>
    <w:rsid w:val="6C9D773C"/>
    <w:rsid w:val="6F6A1399"/>
    <w:rsid w:val="6FA83B18"/>
    <w:rsid w:val="73334198"/>
    <w:rsid w:val="73374BA6"/>
    <w:rsid w:val="746351B9"/>
    <w:rsid w:val="791028AE"/>
    <w:rsid w:val="7AB05E52"/>
    <w:rsid w:val="7D747911"/>
    <w:rsid w:val="7F1767B6"/>
    <w:rsid w:val="7F363FC6"/>
    <w:rsid w:val="7F406FE6"/>
    <w:rsid w:val="7FCE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560" w:firstLineChars="200"/>
    </w:pPr>
    <w:rPr>
      <w:rFonts w:ascii="Times New Roman" w:hAnsi="Times New Roman" w:eastAsia="仿宋" w:cs="Times New Roman"/>
      <w:kern w:val="2"/>
      <w:sz w:val="28"/>
      <w:szCs w:val="20"/>
      <w:lang w:val="en-US" w:eastAsia="zh-CN" w:bidi="ar-SA"/>
    </w:rPr>
  </w:style>
  <w:style w:type="paragraph" w:styleId="2">
    <w:name w:val="heading 1"/>
    <w:basedOn w:val="3"/>
    <w:next w:val="1"/>
    <w:qFormat/>
    <w:uiPriority w:val="0"/>
    <w:pPr>
      <w:outlineLvl w:val="0"/>
    </w:pPr>
    <w:rPr>
      <w:rFonts w:ascii="Arial" w:hAnsi="Arial"/>
      <w:sz w:val="36"/>
    </w:rPr>
  </w:style>
  <w:style w:type="paragraph" w:styleId="3">
    <w:name w:val="heading 2"/>
    <w:next w:val="1"/>
    <w:qFormat/>
    <w:uiPriority w:val="0"/>
    <w:pPr>
      <w:keepNext/>
      <w:keepLines/>
      <w:spacing w:before="260" w:after="260" w:line="360" w:lineRule="auto"/>
      <w:outlineLvl w:val="1"/>
    </w:pPr>
    <w:rPr>
      <w:rFonts w:ascii="Arial" w:hAnsi="Arial" w:eastAsia="宋体" w:cs="Times New Roman"/>
      <w:b/>
      <w:bCs/>
      <w:kern w:val="2"/>
      <w:sz w:val="32"/>
      <w:szCs w:val="32"/>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next w:val="1"/>
    <w:qFormat/>
    <w:uiPriority w:val="0"/>
    <w:pPr>
      <w:keepNext/>
      <w:keepLines/>
      <w:spacing w:before="260" w:after="260" w:line="360" w:lineRule="auto"/>
      <w:outlineLvl w:val="3"/>
    </w:pPr>
    <w:rPr>
      <w:rFonts w:ascii="Arial" w:hAnsi="Arial" w:eastAsia="宋体" w:cs="Times New Roman"/>
      <w:b/>
      <w:bCs/>
      <w:kern w:val="2"/>
      <w:sz w:val="30"/>
      <w:szCs w:val="28"/>
      <w:lang w:val="en-US" w:eastAsia="zh-CN" w:bidi="ar-SA"/>
    </w:rPr>
  </w:style>
  <w:style w:type="paragraph" w:styleId="6">
    <w:name w:val="heading 5"/>
    <w:next w:val="1"/>
    <w:qFormat/>
    <w:uiPriority w:val="0"/>
    <w:pPr>
      <w:keepNext/>
      <w:keepLines/>
      <w:spacing w:before="260" w:after="260" w:line="360" w:lineRule="auto"/>
      <w:outlineLvl w:val="4"/>
    </w:pPr>
    <w:rPr>
      <w:rFonts w:ascii="Times New Roman" w:hAnsi="Times New Roman" w:eastAsia="宋体" w:cs="Times New Roman"/>
      <w:b/>
      <w:bCs/>
      <w:kern w:val="2"/>
      <w:sz w:val="30"/>
      <w:szCs w:val="30"/>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Body Text Indent"/>
    <w:basedOn w:val="1"/>
    <w:semiHidden/>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4"/>
    <w:basedOn w:val="1"/>
    <w:next w:val="1"/>
    <w:unhideWhenUsed/>
    <w:qFormat/>
    <w:uiPriority w:val="39"/>
    <w:pPr>
      <w:ind w:left="1260" w:leftChars="600"/>
    </w:pPr>
  </w:style>
  <w:style w:type="paragraph" w:styleId="11">
    <w:name w:val="Body Text Indent 3"/>
    <w:basedOn w:val="1"/>
    <w:semiHidden/>
    <w:unhideWhenUsed/>
    <w:qFormat/>
    <w:uiPriority w:val="99"/>
    <w:pPr>
      <w:spacing w:after="120"/>
      <w:ind w:left="420" w:leftChars="200"/>
    </w:pPr>
    <w:rPr>
      <w:sz w:val="16"/>
      <w:szCs w:val="16"/>
    </w:rPr>
  </w:style>
  <w:style w:type="paragraph" w:styleId="12">
    <w:name w:val="toc 2"/>
    <w:basedOn w:val="1"/>
    <w:next w:val="1"/>
    <w:unhideWhenUsed/>
    <w:qFormat/>
    <w:uiPriority w:val="39"/>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unhideWhenUsed/>
    <w:qFormat/>
    <w:uiPriority w:val="0"/>
    <w:pPr>
      <w:widowControl w:val="0"/>
      <w:spacing w:line="240" w:lineRule="auto"/>
      <w:ind w:firstLine="420"/>
      <w:jc w:val="both"/>
    </w:pPr>
    <w:rPr>
      <w:rFonts w:asciiTheme="minorHAnsi" w:hAnsiTheme="minorHAnsi" w:eastAsiaTheme="minorEastAsia" w:cstheme="minorBidi"/>
      <w:sz w:val="21"/>
      <w:szCs w:val="24"/>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rPr>
  </w:style>
  <w:style w:type="paragraph" w:styleId="20">
    <w:name w:val="List Paragraph"/>
    <w:basedOn w:val="1"/>
    <w:qFormat/>
    <w:uiPriority w:val="34"/>
    <w:pPr>
      <w:numPr>
        <w:ilvl w:val="0"/>
        <w:numId w:val="1"/>
      </w:numPr>
      <w:ind w:firstLine="0" w:firstLineChars="0"/>
      <w:jc w:val="both"/>
    </w:pPr>
  </w:style>
  <w:style w:type="paragraph" w:customStyle="1" w:styleId="21">
    <w:name w:val="列表段落1"/>
    <w:basedOn w:val="1"/>
    <w:qFormat/>
    <w:uiPriority w:val="34"/>
    <w:pPr>
      <w:widowControl w:val="0"/>
      <w:spacing w:line="240" w:lineRule="auto"/>
      <w:ind w:firstLine="420"/>
      <w:jc w:val="both"/>
    </w:pPr>
    <w:rPr>
      <w:rFonts w:ascii="Calibri" w:hAnsi="Calibri" w:eastAsia="宋体"/>
      <w:sz w:val="21"/>
      <w:szCs w:val="22"/>
    </w:rPr>
  </w:style>
  <w:style w:type="character" w:customStyle="1" w:styleId="22">
    <w:name w:val="font21"/>
    <w:basedOn w:val="16"/>
    <w:qFormat/>
    <w:uiPriority w:val="0"/>
    <w:rPr>
      <w:rFonts w:hint="eastAsia" w:ascii="宋体" w:hAnsi="宋体" w:eastAsia="宋体" w:cs="宋体"/>
      <w:color w:val="000000"/>
      <w:sz w:val="20"/>
      <w:szCs w:val="20"/>
      <w:u w:val="none"/>
    </w:rPr>
  </w:style>
  <w:style w:type="character" w:customStyle="1" w:styleId="23">
    <w:name w:val="font101"/>
    <w:basedOn w:val="16"/>
    <w:qFormat/>
    <w:uiPriority w:val="0"/>
    <w:rPr>
      <w:rFonts w:ascii="Symbol" w:hAnsi="Symbol" w:cs="Symbo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17815</Words>
  <Characters>17946</Characters>
  <Lines>0</Lines>
  <Paragraphs>0</Paragraphs>
  <TotalTime>117</TotalTime>
  <ScaleCrop>false</ScaleCrop>
  <LinksUpToDate>false</LinksUpToDate>
  <CharactersWithSpaces>17988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2024-11-18T03:50:00Z</dcterms:created>
  <dc:creator>zhangyh2313</dc:creator>
  <cp:lastModifiedBy>木头马尾</cp:lastModifiedBy>
  <cp:lastPrinted>2024-11-29T02:51:00Z</cp:lastPrinted>
  <dcterms:modified xsi:type="dcterms:W3CDTF">2024-12-06T08:29:40Z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CC2C79F20A604DE0846588B0CA59C253_13</vt:lpwstr>
  </property>
</Properties>
</file>