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ACD28F2">
      <w:pPr>
        <w:ind w:firstLine="560" w:firstLineChars="200"/>
        <w:rPr>
          <w:color w:val="auto"/>
        </w:rPr>
      </w:pPr>
      <w:bookmarkStart w:id="18" w:name="_GoBack"/>
      <w:bookmarkEnd w:id="18"/>
      <w:bookmarkStart w:id="0" w:name="OLE_LINK119"/>
      <w:r>
        <w:rPr>
          <w:rFonts w:hint="eastAsia"/>
          <w:color w:val="auto"/>
        </w:rPr>
        <w:t>林西县县域医共体信息化二期建设项目总体架构：包含医学检验中心、检验检查结果互认服务、中心药房、智慧急救中心、公卫业务协同、绩效考核中心、总院协同门诊的多科室设置及相应硬件配套设施，详见后续技术参数与性能指标要求。</w:t>
      </w:r>
    </w:p>
    <w:bookmarkEnd w:id="0"/>
    <w:p w14:paraId="5ACDCFB9">
      <w:pPr>
        <w:ind w:firstLine="560" w:firstLineChars="200"/>
        <w:rPr>
          <w:color w:val="auto"/>
        </w:rPr>
      </w:pPr>
      <w:r>
        <w:rPr>
          <w:rFonts w:hint="eastAsia"/>
          <w:color w:val="auto"/>
        </w:rPr>
        <w:t>★系统建成后要与一期医共体平台实现无缝对接。（投标人提供承诺函）</w:t>
      </w:r>
    </w:p>
    <w:p w14:paraId="4106E520">
      <w:pPr>
        <w:pStyle w:val="3"/>
        <w:numPr>
          <w:ilvl w:val="0"/>
          <w:numId w:val="0"/>
        </w:numPr>
        <w:ind w:left="560" w:leftChars="200"/>
        <w:rPr>
          <w:color w:val="auto"/>
        </w:rPr>
      </w:pPr>
      <w:r>
        <w:rPr>
          <w:rFonts w:hint="eastAsia"/>
          <w:color w:val="auto"/>
        </w:rPr>
        <w:t>一、医学检验中心</w:t>
      </w:r>
    </w:p>
    <w:p w14:paraId="3A6E6219">
      <w:pPr>
        <w:pStyle w:val="4"/>
        <w:rPr>
          <w:color w:val="auto"/>
        </w:rPr>
      </w:pPr>
      <w:r>
        <w:rPr>
          <w:rFonts w:hint="eastAsia"/>
          <w:color w:val="auto"/>
        </w:rPr>
        <w:t>（一）总体要求：</w:t>
      </w:r>
    </w:p>
    <w:p w14:paraId="1F221A90">
      <w:pPr>
        <w:spacing w:line="360" w:lineRule="auto"/>
        <w:ind w:firstLine="560" w:firstLineChars="200"/>
        <w:jc w:val="left"/>
        <w:rPr>
          <w:rFonts w:hint="eastAsia" w:ascii="宋体" w:hAnsi="宋体" w:eastAsia="宋体" w:cs="宋体"/>
          <w:color w:val="auto"/>
          <w:szCs w:val="28"/>
        </w:rPr>
      </w:pPr>
      <w:r>
        <w:rPr>
          <w:rFonts w:hint="eastAsia" w:ascii="宋体" w:hAnsi="宋体" w:eastAsia="宋体" w:cs="宋体"/>
          <w:color w:val="auto"/>
          <w:szCs w:val="28"/>
        </w:rPr>
        <w:t>医共体医学检验中心收集基层医疗机构的检验标本，通过专业物流运送至中心进行检测。由总院检验中心进行统一检测并出具检验报告，通过区域性LIS系统回传至各分院。提供结果审核和质控管理功能，确保检验结果的准确性。由此实现区域内诊疗信息互通、检验结果互认，减少重复检查，降低患者负担。</w:t>
      </w:r>
    </w:p>
    <w:p w14:paraId="2F154204">
      <w:pPr>
        <w:pStyle w:val="4"/>
        <w:rPr>
          <w:color w:val="auto"/>
        </w:rPr>
      </w:pPr>
      <w:r>
        <w:rPr>
          <w:rFonts w:hint="eastAsia"/>
          <w:color w:val="auto"/>
        </w:rPr>
        <w:t>（二）系统需提供以下功能：</w:t>
      </w:r>
    </w:p>
    <w:p w14:paraId="566FAAA0">
      <w:pPr>
        <w:spacing w:line="360" w:lineRule="auto"/>
        <w:ind w:firstLine="562" w:firstLineChars="200"/>
        <w:jc w:val="left"/>
        <w:rPr>
          <w:rFonts w:hint="eastAsia" w:ascii="宋体" w:hAnsi="宋体" w:eastAsia="宋体" w:cs="宋体"/>
          <w:b/>
          <w:bCs/>
          <w:color w:val="auto"/>
          <w:szCs w:val="28"/>
        </w:rPr>
      </w:pPr>
      <w:r>
        <w:rPr>
          <w:rFonts w:hint="eastAsia" w:ascii="宋体" w:hAnsi="宋体" w:eastAsia="宋体" w:cs="宋体"/>
          <w:b/>
          <w:bCs/>
          <w:color w:val="auto"/>
          <w:szCs w:val="28"/>
        </w:rPr>
        <w:t>基础配置：</w:t>
      </w:r>
    </w:p>
    <w:p w14:paraId="7364684E">
      <w:pPr>
        <w:spacing w:line="360" w:lineRule="auto"/>
        <w:ind w:firstLine="560" w:firstLineChars="200"/>
        <w:jc w:val="left"/>
        <w:rPr>
          <w:rFonts w:hint="eastAsia" w:ascii="宋体" w:hAnsi="宋体" w:eastAsia="宋体" w:cs="宋体"/>
          <w:color w:val="auto"/>
          <w:szCs w:val="28"/>
        </w:rPr>
      </w:pPr>
      <w:r>
        <w:rPr>
          <w:rFonts w:hint="eastAsia" w:ascii="宋体" w:hAnsi="宋体" w:eastAsia="宋体" w:cs="宋体"/>
          <w:color w:val="auto"/>
          <w:szCs w:val="28"/>
        </w:rPr>
        <w:tab/>
      </w:r>
      <w:r>
        <w:rPr>
          <w:rFonts w:hint="eastAsia" w:ascii="宋体" w:hAnsi="宋体" w:eastAsia="宋体" w:cs="宋体"/>
          <w:color w:val="auto"/>
          <w:szCs w:val="28"/>
        </w:rPr>
        <w:t>1.</w:t>
      </w:r>
      <w:r>
        <w:rPr>
          <w:rFonts w:hint="eastAsia" w:ascii="宋体" w:hAnsi="宋体" w:eastAsia="宋体" w:cs="宋体"/>
          <w:color w:val="auto"/>
          <w:szCs w:val="28"/>
        </w:rPr>
        <w:tab/>
      </w:r>
      <w:r>
        <w:rPr>
          <w:rFonts w:hint="eastAsia" w:ascii="宋体" w:hAnsi="宋体" w:eastAsia="宋体" w:cs="宋体"/>
          <w:color w:val="auto"/>
          <w:szCs w:val="28"/>
        </w:rPr>
        <w:t>支持检验字典管理、机构项目管理、号码管理、项目收费协议、报告互认管理、项目对码模式管理等基础配置功能。</w:t>
      </w:r>
    </w:p>
    <w:p w14:paraId="34662DB1">
      <w:pPr>
        <w:spacing w:line="360" w:lineRule="auto"/>
        <w:ind w:firstLine="562" w:firstLineChars="200"/>
        <w:jc w:val="left"/>
        <w:rPr>
          <w:rFonts w:hint="eastAsia" w:ascii="宋体" w:hAnsi="宋体" w:eastAsia="宋体" w:cs="宋体"/>
          <w:color w:val="auto"/>
          <w:szCs w:val="28"/>
        </w:rPr>
      </w:pPr>
      <w:r>
        <w:rPr>
          <w:rFonts w:hint="eastAsia" w:ascii="宋体" w:hAnsi="宋体" w:eastAsia="宋体" w:cs="宋体"/>
          <w:b/>
          <w:bCs/>
          <w:color w:val="auto"/>
          <w:szCs w:val="28"/>
        </w:rPr>
        <w:t>▲</w:t>
      </w:r>
      <w:r>
        <w:rPr>
          <w:rFonts w:hint="eastAsia" w:ascii="宋体" w:hAnsi="宋体" w:eastAsia="宋体" w:cs="宋体"/>
          <w:color w:val="auto"/>
          <w:szCs w:val="28"/>
        </w:rPr>
        <w:t>2.支持多中心模式，满足医共体内多个检验中心进行业务协同。</w:t>
      </w:r>
    </w:p>
    <w:p w14:paraId="6CD7C728">
      <w:pPr>
        <w:spacing w:line="360" w:lineRule="auto"/>
        <w:ind w:firstLine="560" w:firstLineChars="200"/>
        <w:jc w:val="left"/>
        <w:rPr>
          <w:rFonts w:hint="eastAsia" w:ascii="宋体" w:hAnsi="宋体" w:eastAsia="宋体" w:cs="宋体"/>
          <w:color w:val="auto"/>
          <w:szCs w:val="28"/>
        </w:rPr>
      </w:pPr>
      <w:r>
        <w:rPr>
          <w:rFonts w:hint="eastAsia" w:ascii="宋体" w:hAnsi="宋体" w:eastAsia="宋体" w:cs="宋体"/>
          <w:color w:val="auto"/>
          <w:szCs w:val="28"/>
        </w:rPr>
        <w:tab/>
      </w:r>
      <w:r>
        <w:rPr>
          <w:rFonts w:hint="eastAsia" w:ascii="宋体" w:hAnsi="宋体" w:eastAsia="宋体" w:cs="宋体"/>
          <w:color w:val="auto"/>
          <w:szCs w:val="28"/>
        </w:rPr>
        <w:t>3.</w:t>
      </w:r>
      <w:r>
        <w:rPr>
          <w:rFonts w:hint="eastAsia" w:ascii="宋体" w:hAnsi="宋体" w:eastAsia="宋体" w:cs="宋体"/>
          <w:color w:val="auto"/>
          <w:szCs w:val="28"/>
        </w:rPr>
        <w:tab/>
      </w:r>
      <w:r>
        <w:rPr>
          <w:rFonts w:hint="eastAsia" w:ascii="宋体" w:hAnsi="宋体" w:eastAsia="宋体" w:cs="宋体"/>
          <w:color w:val="auto"/>
          <w:szCs w:val="28"/>
        </w:rPr>
        <w:t>支持医共体内检验过程中涉及的条码号、交接单号、报告单号的唯一性。</w:t>
      </w:r>
    </w:p>
    <w:p w14:paraId="4C930E32">
      <w:pPr>
        <w:spacing w:line="360" w:lineRule="auto"/>
        <w:ind w:firstLine="562" w:firstLineChars="200"/>
        <w:jc w:val="left"/>
        <w:rPr>
          <w:rFonts w:hint="eastAsia" w:ascii="宋体" w:hAnsi="宋体" w:eastAsia="宋体" w:cs="宋体"/>
          <w:b/>
          <w:bCs/>
          <w:color w:val="auto"/>
          <w:szCs w:val="28"/>
        </w:rPr>
      </w:pPr>
      <w:r>
        <w:rPr>
          <w:rFonts w:hint="eastAsia" w:ascii="宋体" w:hAnsi="宋体" w:eastAsia="宋体" w:cs="宋体"/>
          <w:b/>
          <w:bCs/>
          <w:color w:val="auto"/>
          <w:szCs w:val="28"/>
        </w:rPr>
        <w:t>区域检验质控管理：</w:t>
      </w:r>
    </w:p>
    <w:p w14:paraId="780F420A">
      <w:pPr>
        <w:spacing w:line="360" w:lineRule="auto"/>
        <w:ind w:firstLine="562" w:firstLineChars="200"/>
        <w:jc w:val="left"/>
        <w:rPr>
          <w:rFonts w:hint="eastAsia" w:ascii="宋体" w:hAnsi="宋体" w:eastAsia="宋体" w:cs="宋体"/>
          <w:color w:val="auto"/>
          <w:szCs w:val="28"/>
        </w:rPr>
      </w:pPr>
      <w:r>
        <w:rPr>
          <w:rFonts w:hint="eastAsia" w:ascii="宋体" w:hAnsi="宋体" w:eastAsia="宋体" w:cs="宋体"/>
          <w:b/>
          <w:bCs/>
          <w:color w:val="auto"/>
          <w:szCs w:val="28"/>
        </w:rPr>
        <w:t>▲</w:t>
      </w:r>
      <w:r>
        <w:rPr>
          <w:rFonts w:hint="eastAsia" w:ascii="宋体" w:hAnsi="宋体" w:eastAsia="宋体" w:cs="宋体"/>
          <w:color w:val="auto"/>
          <w:szCs w:val="28"/>
        </w:rPr>
        <w:t>区域检验中心可查看各实验室质控情况，包括质控记录、质控统计、质控图等，且需提供软件功能截图以证明具备该功能。</w:t>
      </w:r>
    </w:p>
    <w:p w14:paraId="658C3D34">
      <w:pPr>
        <w:spacing w:line="360" w:lineRule="auto"/>
        <w:ind w:firstLine="562" w:firstLineChars="200"/>
        <w:jc w:val="left"/>
        <w:rPr>
          <w:rFonts w:hint="eastAsia" w:ascii="宋体" w:hAnsi="宋体" w:eastAsia="宋体" w:cs="宋体"/>
          <w:b/>
          <w:bCs/>
          <w:color w:val="auto"/>
          <w:szCs w:val="28"/>
        </w:rPr>
      </w:pPr>
      <w:r>
        <w:rPr>
          <w:rFonts w:hint="eastAsia" w:ascii="宋体" w:hAnsi="宋体" w:eastAsia="宋体" w:cs="宋体"/>
          <w:b/>
          <w:bCs/>
          <w:color w:val="auto"/>
          <w:szCs w:val="28"/>
        </w:rPr>
        <w:t>检验报告查询：</w:t>
      </w:r>
    </w:p>
    <w:p w14:paraId="649428E4">
      <w:pPr>
        <w:spacing w:line="360" w:lineRule="auto"/>
        <w:ind w:firstLine="560" w:firstLineChars="200"/>
        <w:jc w:val="left"/>
        <w:rPr>
          <w:rFonts w:hint="eastAsia" w:ascii="宋体" w:hAnsi="宋体" w:eastAsia="宋体" w:cs="宋体"/>
          <w:color w:val="auto"/>
          <w:szCs w:val="28"/>
        </w:rPr>
      </w:pPr>
      <w:bookmarkStart w:id="1" w:name="OLE_LINK121"/>
      <w:r>
        <w:rPr>
          <w:rFonts w:hint="eastAsia" w:ascii="宋体" w:hAnsi="宋体" w:eastAsia="宋体" w:cs="宋体"/>
          <w:color w:val="auto"/>
          <w:szCs w:val="28"/>
        </w:rPr>
        <w:t>代理检验项目完成检验报告书写后由总院检验科进行报告审核，审核</w:t>
      </w:r>
      <w:bookmarkStart w:id="2" w:name="OLE_LINK120"/>
      <w:r>
        <w:rPr>
          <w:rFonts w:hint="eastAsia" w:ascii="宋体" w:hAnsi="宋体" w:eastAsia="宋体" w:cs="宋体"/>
          <w:color w:val="auto"/>
          <w:szCs w:val="28"/>
        </w:rPr>
        <w:t>完成后通过接口回传到医共体区域检验系统平台，分院用户可通过</w:t>
      </w:r>
      <w:bookmarkEnd w:id="2"/>
      <w:r>
        <w:rPr>
          <w:rFonts w:hint="eastAsia" w:ascii="宋体" w:hAnsi="宋体" w:eastAsia="宋体" w:cs="宋体"/>
          <w:color w:val="auto"/>
          <w:szCs w:val="28"/>
        </w:rPr>
        <w:t>平台对各总院出具的检验报告进行查询。支持区域检验报告、历史检验报告查询。</w:t>
      </w:r>
    </w:p>
    <w:bookmarkEnd w:id="1"/>
    <w:p w14:paraId="3A737625">
      <w:pPr>
        <w:spacing w:line="360" w:lineRule="auto"/>
        <w:ind w:firstLine="562" w:firstLineChars="200"/>
        <w:jc w:val="left"/>
        <w:rPr>
          <w:rFonts w:hint="eastAsia" w:ascii="宋体" w:hAnsi="宋体" w:eastAsia="宋体" w:cs="宋体"/>
          <w:b/>
          <w:bCs/>
          <w:color w:val="auto"/>
          <w:szCs w:val="28"/>
        </w:rPr>
      </w:pPr>
      <w:r>
        <w:rPr>
          <w:rFonts w:hint="eastAsia" w:ascii="宋体" w:hAnsi="宋体" w:eastAsia="宋体" w:cs="宋体"/>
          <w:b/>
          <w:bCs/>
          <w:color w:val="auto"/>
          <w:szCs w:val="28"/>
        </w:rPr>
        <w:t>协同管理：</w:t>
      </w:r>
    </w:p>
    <w:p w14:paraId="53ED0FAB">
      <w:pPr>
        <w:spacing w:line="360" w:lineRule="auto"/>
        <w:ind w:firstLine="560" w:firstLineChars="200"/>
        <w:jc w:val="left"/>
        <w:rPr>
          <w:rFonts w:hint="eastAsia" w:ascii="宋体" w:hAnsi="宋体" w:eastAsia="宋体" w:cs="宋体"/>
          <w:color w:val="auto"/>
          <w:szCs w:val="28"/>
        </w:rPr>
      </w:pPr>
      <w:r>
        <w:rPr>
          <w:rFonts w:hint="eastAsia" w:ascii="宋体" w:hAnsi="宋体" w:eastAsia="宋体" w:cs="宋体"/>
          <w:color w:val="auto"/>
          <w:szCs w:val="28"/>
        </w:rPr>
        <w:tab/>
      </w:r>
      <w:r>
        <w:rPr>
          <w:rFonts w:hint="eastAsia" w:ascii="宋体" w:hAnsi="宋体" w:eastAsia="宋体" w:cs="宋体"/>
          <w:color w:val="auto"/>
          <w:szCs w:val="28"/>
        </w:rPr>
        <w:t>1.</w:t>
      </w:r>
      <w:r>
        <w:rPr>
          <w:rFonts w:hint="eastAsia" w:ascii="宋体" w:hAnsi="宋体" w:eastAsia="宋体" w:cs="宋体"/>
          <w:color w:val="auto"/>
          <w:szCs w:val="28"/>
        </w:rPr>
        <w:tab/>
      </w:r>
      <w:r>
        <w:rPr>
          <w:rFonts w:hint="eastAsia" w:ascii="宋体" w:hAnsi="宋体" w:eastAsia="宋体" w:cs="宋体"/>
          <w:color w:val="auto"/>
          <w:szCs w:val="28"/>
        </w:rPr>
        <w:t>提供标本状态管理、危急值管理、拒收标本查询、区域检验项目汇总、区域检验项目明细查询等功能。</w:t>
      </w:r>
    </w:p>
    <w:p w14:paraId="7E25ECBD">
      <w:pPr>
        <w:spacing w:line="360" w:lineRule="auto"/>
        <w:ind w:firstLine="560" w:firstLineChars="200"/>
        <w:jc w:val="left"/>
        <w:rPr>
          <w:rFonts w:hint="eastAsia" w:ascii="宋体" w:hAnsi="宋体" w:eastAsia="宋体" w:cs="宋体"/>
          <w:color w:val="auto"/>
          <w:szCs w:val="28"/>
        </w:rPr>
      </w:pPr>
      <w:r>
        <w:rPr>
          <w:rFonts w:hint="eastAsia" w:ascii="宋体" w:hAnsi="宋体" w:eastAsia="宋体" w:cs="宋体"/>
          <w:color w:val="auto"/>
          <w:szCs w:val="28"/>
        </w:rPr>
        <w:tab/>
      </w:r>
      <w:r>
        <w:rPr>
          <w:rFonts w:hint="eastAsia" w:ascii="宋体" w:hAnsi="宋体" w:eastAsia="宋体" w:cs="宋体"/>
          <w:color w:val="auto"/>
          <w:szCs w:val="28"/>
        </w:rPr>
        <w:t>2.</w:t>
      </w:r>
      <w:r>
        <w:rPr>
          <w:rFonts w:hint="eastAsia" w:ascii="宋体" w:hAnsi="宋体" w:eastAsia="宋体" w:cs="宋体"/>
          <w:color w:val="auto"/>
          <w:szCs w:val="28"/>
        </w:rPr>
        <w:tab/>
      </w:r>
      <w:r>
        <w:rPr>
          <w:rFonts w:hint="eastAsia" w:ascii="宋体" w:hAnsi="宋体" w:eastAsia="宋体" w:cs="宋体"/>
          <w:color w:val="auto"/>
          <w:szCs w:val="28"/>
        </w:rPr>
        <w:t>标本状态管理：支持协同检验项目的标本状态管理，包括检验申请、标准采集、标本送检、标本签收、报告上传、报告下载等状态流程的全流程查看。</w:t>
      </w:r>
    </w:p>
    <w:p w14:paraId="4F441024">
      <w:pPr>
        <w:ind w:firstLine="840" w:firstLineChars="300"/>
        <w:jc w:val="left"/>
        <w:rPr>
          <w:rFonts w:hint="eastAsia" w:ascii="宋体" w:hAnsi="宋体" w:eastAsia="宋体" w:cs="宋体"/>
          <w:color w:val="auto"/>
          <w:szCs w:val="28"/>
        </w:rPr>
      </w:pPr>
      <w:r>
        <w:rPr>
          <w:rFonts w:hint="eastAsia" w:ascii="宋体" w:hAnsi="宋体" w:eastAsia="宋体" w:cs="宋体"/>
          <w:color w:val="auto"/>
          <w:szCs w:val="28"/>
        </w:rPr>
        <w:t>3. 危急值管理：实现LIS系统与区域临床检验中心系统与基层HIS系统危急值信息无缝对接，实现患者在区域临床检验中危急值的闭环管理。</w:t>
      </w:r>
    </w:p>
    <w:p w14:paraId="25536D32">
      <w:pPr>
        <w:pStyle w:val="3"/>
        <w:numPr>
          <w:ilvl w:val="0"/>
          <w:numId w:val="0"/>
        </w:numPr>
        <w:ind w:left="560" w:leftChars="200"/>
        <w:rPr>
          <w:color w:val="auto"/>
        </w:rPr>
      </w:pPr>
      <w:r>
        <w:rPr>
          <w:rFonts w:hint="eastAsia"/>
          <w:color w:val="auto"/>
        </w:rPr>
        <w:t>二、检查检验结果互认共享</w:t>
      </w:r>
    </w:p>
    <w:p w14:paraId="01A8B11E">
      <w:pPr>
        <w:pStyle w:val="4"/>
        <w:ind w:firstLineChars="0"/>
        <w:rPr>
          <w:color w:val="auto"/>
        </w:rPr>
      </w:pPr>
      <w:r>
        <w:rPr>
          <w:rFonts w:hint="eastAsia"/>
          <w:color w:val="auto"/>
        </w:rPr>
        <w:t xml:space="preserve">（一）总体要求： </w:t>
      </w:r>
    </w:p>
    <w:p w14:paraId="0F4C0D63">
      <w:pPr>
        <w:pStyle w:val="15"/>
        <w:spacing w:after="0" w:line="360" w:lineRule="auto"/>
        <w:ind w:left="0" w:leftChars="0" w:firstLine="560"/>
        <w:jc w:val="left"/>
        <w:rPr>
          <w:rFonts w:hint="eastAsia" w:ascii="宋体" w:hAnsi="宋体" w:eastAsia="宋体" w:cs="宋体"/>
          <w:color w:val="auto"/>
          <w:szCs w:val="28"/>
        </w:rPr>
      </w:pPr>
      <w:r>
        <w:rPr>
          <w:rFonts w:hint="eastAsia" w:ascii="宋体" w:hAnsi="宋体" w:eastAsia="宋体" w:cs="宋体"/>
          <w:color w:val="auto"/>
          <w:szCs w:val="28"/>
        </w:rPr>
        <w:t>实现区域间不同医院、不同医疗机构之间检查检验结果互认共享，实现病人在就诊过程中，以智能化、便利化的自动提醒确保医生能看到互认信息。通过互认项目清单制定，明确可互认项目范围、确定参考时限、规定质量要求；利用医疗机构清单管理，确定互认的医疗机构、动态更新医疗机构信息；“负面”清单明确，界定不能互认的情形、保障医疗质量安全；数据共享与调阅，实现跨机构共享调阅功能、实现与医疗业务系统融合衔接；提供监测评估与反馈，实现不同区域间医疗机构互认工作监测科室和人员监测、科室、医务人员互认工作情况监测；具备统计分析与反馈功能，实现定期统计分析、反馈结果机制建立；异常数据实现反馈与监管，及时进行异常数据反馈，协助规范检查检验行为。</w:t>
      </w:r>
    </w:p>
    <w:p w14:paraId="54471691">
      <w:pPr>
        <w:pStyle w:val="4"/>
        <w:numPr>
          <w:ilvl w:val="255"/>
          <w:numId w:val="0"/>
        </w:numPr>
        <w:rPr>
          <w:color w:val="auto"/>
        </w:rPr>
      </w:pPr>
      <w:r>
        <w:rPr>
          <w:rFonts w:hint="eastAsia"/>
          <w:color w:val="auto"/>
        </w:rPr>
        <w:t>（二）系统需提供以下功能：</w:t>
      </w:r>
    </w:p>
    <w:p w14:paraId="577FF0CC">
      <w:pPr>
        <w:pStyle w:val="15"/>
        <w:spacing w:line="360" w:lineRule="auto"/>
        <w:ind w:left="0" w:leftChars="0" w:firstLine="562"/>
        <w:jc w:val="left"/>
        <w:rPr>
          <w:rFonts w:hint="eastAsia" w:ascii="宋体" w:hAnsi="宋体" w:eastAsia="宋体" w:cs="宋体"/>
          <w:b/>
          <w:bCs/>
          <w:color w:val="auto"/>
          <w:szCs w:val="28"/>
        </w:rPr>
      </w:pPr>
      <w:r>
        <w:rPr>
          <w:rFonts w:hint="eastAsia" w:ascii="宋体" w:hAnsi="宋体" w:eastAsia="宋体" w:cs="宋体"/>
          <w:b/>
          <w:bCs/>
          <w:color w:val="auto"/>
          <w:szCs w:val="28"/>
        </w:rPr>
        <w:t>数据标准规范：</w:t>
      </w:r>
    </w:p>
    <w:p w14:paraId="1810E177">
      <w:pPr>
        <w:pStyle w:val="15"/>
        <w:spacing w:line="360" w:lineRule="auto"/>
        <w:ind w:left="0" w:leftChars="0" w:firstLine="560"/>
        <w:jc w:val="left"/>
        <w:rPr>
          <w:rFonts w:hint="eastAsia" w:ascii="宋体" w:hAnsi="宋体" w:eastAsia="宋体" w:cs="宋体"/>
          <w:color w:val="auto"/>
          <w:szCs w:val="28"/>
        </w:rPr>
      </w:pPr>
      <w:r>
        <w:rPr>
          <w:rFonts w:hint="eastAsia" w:ascii="宋体" w:hAnsi="宋体" w:eastAsia="宋体" w:cs="宋体"/>
          <w:color w:val="auto"/>
          <w:szCs w:val="28"/>
        </w:rPr>
        <w:t>针对区域内各医疗机构的相关检验、检查仪器统一管理、评估、审核，设置对应仪器的认可的指标范围，实现区域内的项目统一标准、规则统一标准、范围统一标准、信息统一推送，互认确认结果。</w:t>
      </w:r>
    </w:p>
    <w:p w14:paraId="39D9076A">
      <w:pPr>
        <w:pStyle w:val="15"/>
        <w:spacing w:after="0" w:line="360" w:lineRule="auto"/>
        <w:ind w:left="0" w:leftChars="0" w:firstLine="562"/>
        <w:jc w:val="left"/>
        <w:rPr>
          <w:rFonts w:hint="eastAsia" w:ascii="宋体" w:hAnsi="宋体" w:eastAsia="宋体" w:cs="宋体"/>
          <w:b/>
          <w:bCs/>
          <w:color w:val="auto"/>
          <w:szCs w:val="28"/>
        </w:rPr>
      </w:pPr>
      <w:r>
        <w:rPr>
          <w:rFonts w:hint="eastAsia" w:ascii="宋体" w:hAnsi="宋体" w:eastAsia="宋体" w:cs="宋体"/>
          <w:b/>
          <w:bCs/>
          <w:color w:val="auto"/>
          <w:szCs w:val="28"/>
        </w:rPr>
        <w:t>机构管理：</w:t>
      </w:r>
    </w:p>
    <w:p w14:paraId="50A20C8D">
      <w:pPr>
        <w:pStyle w:val="15"/>
        <w:spacing w:after="0" w:line="360" w:lineRule="auto"/>
        <w:ind w:left="0" w:leftChars="0" w:firstLine="560"/>
        <w:jc w:val="left"/>
        <w:rPr>
          <w:rFonts w:hint="eastAsia" w:ascii="宋体" w:hAnsi="宋体" w:eastAsia="宋体" w:cs="宋体"/>
          <w:color w:val="auto"/>
          <w:szCs w:val="28"/>
        </w:rPr>
      </w:pPr>
      <w:r>
        <w:rPr>
          <w:rFonts w:hint="eastAsia" w:ascii="宋体" w:hAnsi="宋体" w:eastAsia="宋体" w:cs="宋体"/>
          <w:color w:val="auto"/>
          <w:szCs w:val="28"/>
        </w:rPr>
        <w:t>需支持从医共体信息平台同步机构信息，支持医共体内机构的检验检查互认，实现检查检验结果互认机构的维护。</w:t>
      </w:r>
    </w:p>
    <w:p w14:paraId="19C43B18">
      <w:pPr>
        <w:pStyle w:val="15"/>
        <w:spacing w:after="0" w:line="360" w:lineRule="auto"/>
        <w:ind w:left="0" w:leftChars="0" w:firstLine="562"/>
        <w:jc w:val="left"/>
        <w:rPr>
          <w:rFonts w:hint="eastAsia" w:ascii="宋体" w:hAnsi="宋体" w:eastAsia="宋体" w:cs="宋体"/>
          <w:b/>
          <w:bCs/>
          <w:color w:val="auto"/>
          <w:szCs w:val="28"/>
        </w:rPr>
      </w:pPr>
      <w:r>
        <w:rPr>
          <w:rFonts w:hint="eastAsia" w:ascii="宋体" w:hAnsi="宋体" w:eastAsia="宋体" w:cs="宋体"/>
          <w:b/>
          <w:bCs/>
          <w:color w:val="auto"/>
          <w:szCs w:val="28"/>
        </w:rPr>
        <w:t>科室管理：</w:t>
      </w:r>
    </w:p>
    <w:p w14:paraId="46A4A7F3">
      <w:pPr>
        <w:pStyle w:val="15"/>
        <w:spacing w:after="0" w:line="360" w:lineRule="auto"/>
        <w:ind w:left="0" w:leftChars="0" w:firstLine="560"/>
        <w:jc w:val="left"/>
        <w:rPr>
          <w:rFonts w:hint="eastAsia" w:ascii="宋体" w:hAnsi="宋体" w:eastAsia="宋体" w:cs="宋体"/>
          <w:color w:val="auto"/>
          <w:szCs w:val="28"/>
        </w:rPr>
      </w:pPr>
      <w:r>
        <w:rPr>
          <w:rFonts w:hint="eastAsia" w:ascii="宋体" w:hAnsi="宋体" w:eastAsia="宋体" w:cs="宋体"/>
          <w:color w:val="auto"/>
          <w:szCs w:val="28"/>
        </w:rPr>
        <w:t>支持互认科室的维护。</w:t>
      </w:r>
    </w:p>
    <w:p w14:paraId="43F14305">
      <w:pPr>
        <w:pStyle w:val="15"/>
        <w:spacing w:after="0" w:line="360" w:lineRule="auto"/>
        <w:ind w:left="0" w:leftChars="0" w:firstLine="562"/>
        <w:jc w:val="left"/>
        <w:rPr>
          <w:rFonts w:hint="eastAsia" w:ascii="宋体" w:hAnsi="宋体" w:eastAsia="宋体" w:cs="宋体"/>
          <w:b/>
          <w:bCs/>
          <w:color w:val="auto"/>
          <w:szCs w:val="28"/>
        </w:rPr>
      </w:pPr>
      <w:r>
        <w:rPr>
          <w:rFonts w:hint="eastAsia" w:ascii="宋体" w:hAnsi="宋体" w:eastAsia="宋体" w:cs="宋体"/>
          <w:b/>
          <w:bCs/>
          <w:color w:val="auto"/>
          <w:szCs w:val="28"/>
        </w:rPr>
        <w:t>标准字典管理：</w:t>
      </w:r>
    </w:p>
    <w:p w14:paraId="2B56BE18">
      <w:pPr>
        <w:pStyle w:val="15"/>
        <w:spacing w:after="0" w:line="360" w:lineRule="auto"/>
        <w:ind w:left="0" w:leftChars="0" w:firstLine="562"/>
        <w:jc w:val="left"/>
        <w:rPr>
          <w:rFonts w:hint="eastAsia" w:ascii="宋体" w:hAnsi="宋体" w:eastAsia="宋体" w:cs="宋体"/>
          <w:color w:val="auto"/>
          <w:szCs w:val="28"/>
        </w:rPr>
      </w:pPr>
      <w:r>
        <w:rPr>
          <w:rFonts w:hint="eastAsia" w:ascii="宋体" w:hAnsi="宋体" w:eastAsia="宋体" w:cs="宋体"/>
          <w:b/>
          <w:bCs/>
          <w:color w:val="auto"/>
          <w:szCs w:val="28"/>
        </w:rPr>
        <w:t>▲</w:t>
      </w:r>
      <w:r>
        <w:rPr>
          <w:rFonts w:hint="eastAsia" w:ascii="宋体" w:hAnsi="宋体" w:eastAsia="宋体" w:cs="宋体"/>
          <w:color w:val="auto"/>
          <w:szCs w:val="28"/>
        </w:rPr>
        <w:t>提供字段值域的字典配置管理，实现字典数据的定期维护来保证数据质量。如：不互认原因信息页面化配置管理，提供新增、修改、删除等功能，便于管理人员管控不互认原因信息。</w:t>
      </w:r>
    </w:p>
    <w:p w14:paraId="2CD11BC9">
      <w:pPr>
        <w:pStyle w:val="15"/>
        <w:spacing w:after="0" w:line="360" w:lineRule="auto"/>
        <w:ind w:left="0" w:leftChars="0" w:firstLine="562"/>
        <w:jc w:val="left"/>
        <w:rPr>
          <w:rFonts w:hint="eastAsia" w:ascii="宋体" w:hAnsi="宋体" w:eastAsia="宋体" w:cs="宋体"/>
          <w:b/>
          <w:bCs/>
          <w:color w:val="auto"/>
          <w:szCs w:val="28"/>
        </w:rPr>
      </w:pPr>
      <w:r>
        <w:rPr>
          <w:rFonts w:hint="eastAsia" w:ascii="宋体" w:hAnsi="宋体" w:eastAsia="宋体" w:cs="宋体"/>
          <w:b/>
          <w:bCs/>
          <w:color w:val="auto"/>
          <w:szCs w:val="28"/>
        </w:rPr>
        <w:t>标准互认项目及规则管理：</w:t>
      </w:r>
    </w:p>
    <w:p w14:paraId="22283439">
      <w:pPr>
        <w:pStyle w:val="15"/>
        <w:spacing w:after="0" w:line="360" w:lineRule="auto"/>
        <w:ind w:left="0" w:leftChars="0" w:firstLine="560"/>
        <w:jc w:val="left"/>
        <w:rPr>
          <w:rFonts w:hint="eastAsia" w:ascii="宋体" w:hAnsi="宋体" w:eastAsia="宋体" w:cs="宋体"/>
          <w:color w:val="auto"/>
          <w:szCs w:val="28"/>
        </w:rPr>
      </w:pPr>
      <w:r>
        <w:rPr>
          <w:rFonts w:hint="eastAsia" w:ascii="宋体" w:hAnsi="宋体" w:eastAsia="宋体" w:cs="宋体"/>
          <w:color w:val="auto"/>
          <w:szCs w:val="28"/>
        </w:rPr>
        <w:t>提供可互认项目维护及互认规则配置，在医生进行互认操作的时候进行互认项目的展示，提供方便医生操作的互认项目列表。规则层面，支持互认时间范围、互认机构范围、互认机构等级等的规则的配置。</w:t>
      </w:r>
    </w:p>
    <w:p w14:paraId="3CE00B4A">
      <w:pPr>
        <w:pStyle w:val="15"/>
        <w:spacing w:after="0" w:line="360" w:lineRule="auto"/>
        <w:ind w:left="0" w:leftChars="0" w:firstLine="562"/>
        <w:jc w:val="left"/>
        <w:rPr>
          <w:rFonts w:hint="eastAsia" w:ascii="宋体" w:hAnsi="宋体" w:eastAsia="宋体" w:cs="宋体"/>
          <w:b/>
          <w:bCs/>
          <w:color w:val="auto"/>
          <w:szCs w:val="28"/>
        </w:rPr>
      </w:pPr>
      <w:r>
        <w:rPr>
          <w:rFonts w:hint="eastAsia" w:ascii="宋体" w:hAnsi="宋体" w:eastAsia="宋体" w:cs="宋体"/>
          <w:b/>
          <w:bCs/>
          <w:color w:val="auto"/>
          <w:szCs w:val="28"/>
        </w:rPr>
        <w:t>机构互认项目管理：</w:t>
      </w:r>
    </w:p>
    <w:p w14:paraId="3E5E8477">
      <w:pPr>
        <w:pStyle w:val="15"/>
        <w:spacing w:after="0" w:line="360" w:lineRule="auto"/>
        <w:ind w:left="0" w:leftChars="0" w:firstLine="560"/>
        <w:jc w:val="left"/>
        <w:rPr>
          <w:rFonts w:hint="eastAsia" w:ascii="宋体" w:hAnsi="宋体" w:eastAsia="宋体" w:cs="宋体"/>
          <w:color w:val="auto"/>
          <w:szCs w:val="28"/>
        </w:rPr>
      </w:pPr>
      <w:r>
        <w:rPr>
          <w:rFonts w:hint="eastAsia" w:ascii="宋体" w:hAnsi="宋体" w:eastAsia="宋体" w:cs="宋体"/>
          <w:color w:val="auto"/>
          <w:szCs w:val="28"/>
        </w:rPr>
        <w:t>支持机构互认项目的维护，不同的机构可根据实际情况，配置个性化的互认项目。</w:t>
      </w:r>
    </w:p>
    <w:p w14:paraId="3339E4C5">
      <w:pPr>
        <w:pStyle w:val="15"/>
        <w:spacing w:after="0" w:line="360" w:lineRule="auto"/>
        <w:ind w:left="0" w:leftChars="0" w:firstLine="562"/>
        <w:jc w:val="left"/>
        <w:rPr>
          <w:rFonts w:hint="eastAsia" w:ascii="宋体" w:hAnsi="宋体" w:eastAsia="宋体" w:cs="宋体"/>
          <w:b/>
          <w:bCs/>
          <w:color w:val="auto"/>
          <w:szCs w:val="28"/>
        </w:rPr>
      </w:pPr>
      <w:r>
        <w:rPr>
          <w:rFonts w:hint="eastAsia" w:ascii="宋体" w:hAnsi="宋体" w:eastAsia="宋体" w:cs="宋体"/>
          <w:b/>
          <w:bCs/>
          <w:color w:val="auto"/>
          <w:szCs w:val="28"/>
        </w:rPr>
        <w:t>系统参数管理：</w:t>
      </w:r>
    </w:p>
    <w:p w14:paraId="5ABD5E3C">
      <w:pPr>
        <w:pStyle w:val="15"/>
        <w:spacing w:after="0" w:line="360" w:lineRule="auto"/>
        <w:ind w:left="0" w:leftChars="0" w:firstLine="560"/>
        <w:jc w:val="left"/>
        <w:rPr>
          <w:rFonts w:hint="eastAsia" w:ascii="宋体" w:hAnsi="宋体" w:eastAsia="宋体" w:cs="宋体"/>
          <w:color w:val="auto"/>
          <w:szCs w:val="28"/>
        </w:rPr>
      </w:pPr>
      <w:bookmarkStart w:id="3" w:name="OLE_LINK122"/>
      <w:r>
        <w:rPr>
          <w:rFonts w:hint="eastAsia" w:ascii="宋体" w:hAnsi="宋体" w:eastAsia="宋体" w:cs="宋体"/>
          <w:color w:val="auto"/>
          <w:szCs w:val="28"/>
        </w:rPr>
        <w:t>提供</w:t>
      </w:r>
      <w:bookmarkEnd w:id="3"/>
      <w:r>
        <w:rPr>
          <w:rFonts w:hint="eastAsia" w:ascii="宋体" w:hAnsi="宋体" w:eastAsia="宋体" w:cs="宋体"/>
          <w:color w:val="auto"/>
          <w:szCs w:val="28"/>
        </w:rPr>
        <w:t>可视化页面配置互认服务后台配置参数及地址。支持系统参数维护，包括参数的新增、取值类型的设置。</w:t>
      </w:r>
    </w:p>
    <w:p w14:paraId="33A59D43">
      <w:pPr>
        <w:pStyle w:val="15"/>
        <w:spacing w:after="0" w:line="360" w:lineRule="auto"/>
        <w:ind w:left="0" w:leftChars="0" w:firstLine="562"/>
        <w:jc w:val="left"/>
        <w:rPr>
          <w:rFonts w:hint="eastAsia" w:ascii="宋体" w:hAnsi="宋体" w:eastAsia="宋体" w:cs="宋体"/>
          <w:b/>
          <w:bCs/>
          <w:color w:val="auto"/>
          <w:szCs w:val="28"/>
        </w:rPr>
      </w:pPr>
      <w:r>
        <w:rPr>
          <w:rFonts w:hint="eastAsia" w:ascii="宋体" w:hAnsi="宋体" w:eastAsia="宋体" w:cs="宋体"/>
          <w:b/>
          <w:bCs/>
          <w:color w:val="auto"/>
          <w:szCs w:val="28"/>
        </w:rPr>
        <w:t>互认全流程监管：</w:t>
      </w:r>
    </w:p>
    <w:p w14:paraId="7F3BE80B">
      <w:pPr>
        <w:pStyle w:val="15"/>
        <w:spacing w:after="0" w:line="360" w:lineRule="auto"/>
        <w:ind w:left="0" w:leftChars="0" w:firstLine="562"/>
        <w:jc w:val="left"/>
        <w:rPr>
          <w:rFonts w:hint="eastAsia" w:ascii="宋体" w:hAnsi="宋体" w:eastAsia="宋体" w:cs="宋体"/>
          <w:color w:val="auto"/>
          <w:szCs w:val="28"/>
        </w:rPr>
      </w:pPr>
      <w:r>
        <w:rPr>
          <w:rFonts w:hint="eastAsia" w:ascii="宋体" w:hAnsi="宋体" w:eastAsia="宋体" w:cs="宋体"/>
          <w:b/>
          <w:bCs/>
          <w:color w:val="auto"/>
          <w:szCs w:val="28"/>
        </w:rPr>
        <w:t>▲</w:t>
      </w:r>
      <w:r>
        <w:rPr>
          <w:rFonts w:hint="eastAsia" w:ascii="宋体" w:hAnsi="宋体" w:eastAsia="宋体" w:cs="宋体"/>
          <w:color w:val="auto"/>
          <w:szCs w:val="28"/>
        </w:rPr>
        <w:t>实现检查检验互认流程的全流程跟踪，支持列表展示互认报告的基本信息，并对互认行为进行记录、全程留痕，实现对互认过程及结果的互认监管，协助发现互认工作推进过程中存在的问题。</w:t>
      </w:r>
    </w:p>
    <w:p w14:paraId="0E2ACAE1">
      <w:pPr>
        <w:pStyle w:val="15"/>
        <w:spacing w:after="0" w:line="360" w:lineRule="auto"/>
        <w:ind w:left="0" w:leftChars="0" w:firstLine="560"/>
        <w:jc w:val="left"/>
        <w:rPr>
          <w:rFonts w:hint="eastAsia" w:ascii="宋体" w:hAnsi="宋体" w:eastAsia="宋体" w:cs="宋体"/>
          <w:color w:val="auto"/>
          <w:szCs w:val="28"/>
        </w:rPr>
      </w:pPr>
      <w:r>
        <w:rPr>
          <w:rFonts w:hint="eastAsia" w:ascii="宋体" w:hAnsi="宋体" w:eastAsia="宋体" w:cs="宋体"/>
          <w:color w:val="auto"/>
          <w:szCs w:val="28"/>
        </w:rPr>
        <w:t>支持对未互认重复开单、互认后重开单等异常数据进行及时反馈和统计，协助规范检验检查行为；</w:t>
      </w:r>
    </w:p>
    <w:p w14:paraId="408CF221">
      <w:pPr>
        <w:pStyle w:val="15"/>
        <w:spacing w:after="0" w:line="360" w:lineRule="auto"/>
        <w:ind w:left="0" w:leftChars="0" w:firstLine="560"/>
        <w:jc w:val="left"/>
        <w:rPr>
          <w:rFonts w:hint="eastAsia" w:ascii="宋体" w:hAnsi="宋体" w:eastAsia="宋体" w:cs="宋体"/>
          <w:color w:val="auto"/>
          <w:szCs w:val="28"/>
        </w:rPr>
      </w:pPr>
      <w:r>
        <w:rPr>
          <w:rFonts w:hint="eastAsia" w:ascii="宋体" w:hAnsi="宋体" w:eastAsia="宋体" w:cs="宋体"/>
          <w:color w:val="auto"/>
          <w:szCs w:val="28"/>
        </w:rPr>
        <w:t>未互认重复开单：统计未互认重复开单的数量、项目类型占比、并以折线图的方式展示未互认重复开单走势，展示机构、项目的未互认重复开单的排名情况、明细数据；</w:t>
      </w:r>
    </w:p>
    <w:p w14:paraId="4456461E">
      <w:pPr>
        <w:pStyle w:val="15"/>
        <w:spacing w:after="0" w:line="360" w:lineRule="auto"/>
        <w:ind w:left="0" w:leftChars="0" w:firstLine="560"/>
        <w:jc w:val="left"/>
        <w:rPr>
          <w:rFonts w:hint="eastAsia" w:ascii="宋体" w:hAnsi="宋体" w:eastAsia="宋体" w:cs="宋体"/>
          <w:color w:val="auto"/>
          <w:szCs w:val="28"/>
        </w:rPr>
      </w:pPr>
      <w:r>
        <w:rPr>
          <w:rFonts w:hint="eastAsia" w:ascii="宋体" w:hAnsi="宋体" w:eastAsia="宋体" w:cs="宋体"/>
          <w:color w:val="auto"/>
          <w:szCs w:val="28"/>
        </w:rPr>
        <w:t>互认后重开单情况：统计互认后重复开单的数量、项目类型占比、并以折线图的方式展示互认后重复开单走势，展示机构、项目的互认后重复开单的排名情况、明细数据；</w:t>
      </w:r>
    </w:p>
    <w:p w14:paraId="50C0760E">
      <w:pPr>
        <w:pStyle w:val="15"/>
        <w:spacing w:after="0" w:line="360" w:lineRule="auto"/>
        <w:ind w:left="0" w:leftChars="0" w:firstLine="560"/>
        <w:jc w:val="left"/>
        <w:rPr>
          <w:rFonts w:hint="eastAsia" w:ascii="宋体" w:hAnsi="宋体" w:eastAsia="宋体" w:cs="宋体"/>
          <w:color w:val="auto"/>
          <w:szCs w:val="28"/>
        </w:rPr>
      </w:pPr>
      <w:r>
        <w:rPr>
          <w:rFonts w:hint="eastAsia" w:ascii="宋体" w:hAnsi="宋体" w:eastAsia="宋体" w:cs="宋体"/>
          <w:color w:val="auto"/>
          <w:szCs w:val="28"/>
        </w:rPr>
        <w:t>支持对不互认原因进行统计分析，包括不互认的数量、不互认重复开单的占比、并以折线图的方式展示不互认开单量走势、展示不互认机构和原因等数据的排行情况，及明细数据；</w:t>
      </w:r>
    </w:p>
    <w:p w14:paraId="6063C496">
      <w:pPr>
        <w:pStyle w:val="15"/>
        <w:spacing w:after="0" w:line="360" w:lineRule="auto"/>
        <w:ind w:left="0" w:leftChars="0" w:firstLine="562"/>
        <w:jc w:val="left"/>
        <w:rPr>
          <w:rFonts w:hint="eastAsia" w:ascii="宋体" w:hAnsi="宋体" w:eastAsia="宋体" w:cs="宋体"/>
          <w:b/>
          <w:bCs/>
          <w:color w:val="auto"/>
          <w:szCs w:val="28"/>
        </w:rPr>
      </w:pPr>
      <w:r>
        <w:rPr>
          <w:rFonts w:hint="eastAsia" w:ascii="宋体" w:hAnsi="宋体" w:eastAsia="宋体" w:cs="宋体"/>
          <w:b/>
          <w:bCs/>
          <w:color w:val="auto"/>
          <w:szCs w:val="28"/>
        </w:rPr>
        <w:t>系统日志查询：</w:t>
      </w:r>
    </w:p>
    <w:p w14:paraId="1DD65326">
      <w:pPr>
        <w:pStyle w:val="15"/>
        <w:spacing w:after="0" w:line="360" w:lineRule="auto"/>
        <w:ind w:left="0" w:leftChars="0" w:firstLine="560"/>
        <w:jc w:val="left"/>
        <w:rPr>
          <w:rFonts w:hint="eastAsia" w:ascii="宋体" w:hAnsi="宋体" w:eastAsia="宋体" w:cs="宋体"/>
          <w:color w:val="auto"/>
          <w:szCs w:val="28"/>
        </w:rPr>
      </w:pPr>
      <w:r>
        <w:rPr>
          <w:rFonts w:hint="eastAsia" w:ascii="宋体" w:hAnsi="宋体" w:eastAsia="宋体" w:cs="宋体"/>
          <w:color w:val="auto"/>
          <w:szCs w:val="28"/>
        </w:rPr>
        <w:t>实现对基础数据的操作日志、系统日志的记录，便于日常巡查及错误跟踪。</w:t>
      </w:r>
    </w:p>
    <w:p w14:paraId="73522C64">
      <w:pPr>
        <w:pStyle w:val="15"/>
        <w:spacing w:after="0" w:line="360" w:lineRule="auto"/>
        <w:ind w:left="0" w:leftChars="0" w:firstLine="562"/>
        <w:jc w:val="left"/>
        <w:rPr>
          <w:rFonts w:hint="eastAsia" w:ascii="宋体" w:hAnsi="宋体" w:eastAsia="宋体" w:cs="宋体"/>
          <w:b/>
          <w:bCs/>
          <w:color w:val="auto"/>
          <w:szCs w:val="28"/>
        </w:rPr>
      </w:pPr>
      <w:r>
        <w:rPr>
          <w:rFonts w:hint="eastAsia" w:ascii="宋体" w:hAnsi="宋体" w:eastAsia="宋体" w:cs="宋体"/>
          <w:b/>
          <w:bCs/>
          <w:color w:val="auto"/>
          <w:szCs w:val="28"/>
        </w:rPr>
        <w:t>互认监管查询：</w:t>
      </w:r>
    </w:p>
    <w:p w14:paraId="54CE58D8">
      <w:pPr>
        <w:pStyle w:val="15"/>
        <w:spacing w:after="0" w:line="360" w:lineRule="auto"/>
        <w:ind w:left="0" w:leftChars="0" w:firstLine="560"/>
        <w:jc w:val="left"/>
        <w:rPr>
          <w:rFonts w:hint="eastAsia" w:ascii="宋体" w:hAnsi="宋体" w:eastAsia="宋体" w:cs="宋体"/>
          <w:color w:val="auto"/>
          <w:szCs w:val="28"/>
        </w:rPr>
      </w:pPr>
      <w:r>
        <w:rPr>
          <w:rFonts w:hint="eastAsia" w:ascii="宋体" w:hAnsi="宋体" w:eastAsia="宋体" w:cs="宋体"/>
          <w:color w:val="auto"/>
          <w:szCs w:val="28"/>
        </w:rPr>
        <w:t>实现区域间医疗机构互认日志、互认全流程的监测，对纳入互认的医疗机构及医生进行互认行为的监测。对互认的行为及结果以不同的指标进行互认统计分析，以清晰明了的指标展示互认工作推进情况及结果。指标包含：区域内互认医院覆盖率、人次互认率、项目互认率、机构互认排行、互认项目排行、互认项目占比、不互认原因排行、互认项目走势等。</w:t>
      </w:r>
    </w:p>
    <w:p w14:paraId="07BC4D3A">
      <w:pPr>
        <w:pStyle w:val="15"/>
        <w:spacing w:after="0" w:line="360" w:lineRule="auto"/>
        <w:ind w:left="0" w:leftChars="0" w:firstLine="562"/>
        <w:jc w:val="left"/>
        <w:rPr>
          <w:rFonts w:hint="eastAsia" w:ascii="宋体" w:hAnsi="宋体" w:eastAsia="宋体" w:cs="宋体"/>
          <w:b/>
          <w:bCs/>
          <w:color w:val="auto"/>
          <w:szCs w:val="28"/>
        </w:rPr>
      </w:pPr>
      <w:r>
        <w:rPr>
          <w:rFonts w:hint="eastAsia" w:ascii="宋体" w:hAnsi="宋体" w:eastAsia="宋体" w:cs="宋体"/>
          <w:b/>
          <w:bCs/>
          <w:color w:val="auto"/>
          <w:szCs w:val="28"/>
        </w:rPr>
        <w:t>检验检查互认共享浏览器：</w:t>
      </w:r>
    </w:p>
    <w:p w14:paraId="1A10055C">
      <w:pPr>
        <w:pStyle w:val="15"/>
        <w:spacing w:after="0" w:line="360" w:lineRule="auto"/>
        <w:ind w:left="0" w:leftChars="0" w:firstLine="560"/>
        <w:jc w:val="left"/>
        <w:rPr>
          <w:rFonts w:hint="eastAsia" w:ascii="宋体" w:hAnsi="宋体" w:eastAsia="宋体" w:cs="宋体"/>
          <w:color w:val="auto"/>
          <w:szCs w:val="28"/>
        </w:rPr>
      </w:pPr>
      <w:r>
        <w:rPr>
          <w:rFonts w:hint="eastAsia" w:ascii="宋体" w:hAnsi="宋体" w:eastAsia="宋体" w:cs="宋体"/>
          <w:color w:val="auto"/>
          <w:szCs w:val="28"/>
        </w:rPr>
        <w:t>支持为医生提供便捷调阅服务，调阅互认项目所对应检验检查结果报告，提供近期检验检查记录查看、报告查看。</w:t>
      </w:r>
    </w:p>
    <w:p w14:paraId="727A780F">
      <w:pPr>
        <w:pStyle w:val="15"/>
        <w:numPr>
          <w:ilvl w:val="0"/>
          <w:numId w:val="2"/>
        </w:numPr>
        <w:spacing w:after="0" w:line="360" w:lineRule="auto"/>
        <w:ind w:left="0" w:leftChars="0" w:firstLine="560"/>
        <w:jc w:val="left"/>
        <w:rPr>
          <w:rFonts w:hint="eastAsia" w:ascii="宋体" w:hAnsi="宋体" w:eastAsia="宋体" w:cs="宋体"/>
          <w:color w:val="auto"/>
          <w:szCs w:val="28"/>
        </w:rPr>
      </w:pPr>
      <w:r>
        <w:rPr>
          <w:rFonts w:hint="eastAsia" w:ascii="宋体" w:hAnsi="宋体" w:eastAsia="宋体" w:cs="宋体"/>
          <w:color w:val="auto"/>
          <w:szCs w:val="28"/>
        </w:rPr>
        <w:t>互相项目确认管理：针</w:t>
      </w:r>
      <w:bookmarkStart w:id="4" w:name="OLE_LINK123"/>
      <w:r>
        <w:rPr>
          <w:rFonts w:hint="eastAsia" w:ascii="宋体" w:hAnsi="宋体" w:eastAsia="宋体" w:cs="宋体"/>
          <w:color w:val="auto"/>
          <w:szCs w:val="28"/>
        </w:rPr>
        <w:t>对推送的互认项目列表，临床医生可以结合临床实际，在不影响疾病诊疗的前提下，对其检查检验结果予以互认。勾选“互认”选项实现互认。或者勾选“不互认”原因、并进行原因备注</w:t>
      </w:r>
      <w:bookmarkEnd w:id="4"/>
      <w:r>
        <w:rPr>
          <w:rFonts w:hint="eastAsia" w:ascii="宋体" w:hAnsi="宋体" w:eastAsia="宋体" w:cs="宋体"/>
          <w:color w:val="auto"/>
          <w:szCs w:val="28"/>
        </w:rPr>
        <w:t>。</w:t>
      </w:r>
    </w:p>
    <w:p w14:paraId="32661D23">
      <w:pPr>
        <w:pStyle w:val="15"/>
        <w:numPr>
          <w:ilvl w:val="0"/>
          <w:numId w:val="2"/>
        </w:numPr>
        <w:spacing w:after="0" w:line="360" w:lineRule="auto"/>
        <w:ind w:left="0" w:leftChars="0" w:firstLine="560"/>
        <w:jc w:val="left"/>
        <w:rPr>
          <w:rFonts w:hint="eastAsia" w:ascii="宋体" w:hAnsi="宋体" w:eastAsia="宋体" w:cs="宋体"/>
          <w:color w:val="auto"/>
          <w:szCs w:val="28"/>
        </w:rPr>
      </w:pPr>
      <w:r>
        <w:rPr>
          <w:rFonts w:hint="eastAsia" w:ascii="宋体" w:hAnsi="宋体" w:eastAsia="宋体" w:cs="宋体"/>
          <w:color w:val="auto"/>
          <w:szCs w:val="28"/>
        </w:rPr>
        <w:t>不互认理由填写及管理：针对推送的互认项目列表，临床医生认为其检查检验结果不予以互认的，需提交不能互认的理由。医生可以从系统的结构化理由中选择“不互认”原因，为后续优化互认服务提供可追溯的参考依据。系统对不互认项目的理由提供便捷配置及更新维护管理功能，供临床选择。</w:t>
      </w:r>
    </w:p>
    <w:p w14:paraId="40823298">
      <w:pPr>
        <w:pStyle w:val="15"/>
        <w:spacing w:after="0" w:line="360" w:lineRule="auto"/>
        <w:ind w:left="0" w:leftChars="0" w:firstLine="562"/>
        <w:jc w:val="left"/>
        <w:rPr>
          <w:rFonts w:hint="eastAsia" w:ascii="宋体" w:hAnsi="宋体" w:eastAsia="宋体" w:cs="宋体"/>
          <w:b/>
          <w:bCs/>
          <w:color w:val="auto"/>
          <w:szCs w:val="28"/>
        </w:rPr>
      </w:pPr>
      <w:r>
        <w:rPr>
          <w:rFonts w:hint="eastAsia" w:ascii="宋体" w:hAnsi="宋体" w:eastAsia="宋体" w:cs="宋体"/>
          <w:b/>
          <w:bCs/>
          <w:color w:val="auto"/>
          <w:szCs w:val="28"/>
        </w:rPr>
        <w:t>检验检查互认大屏：</w:t>
      </w:r>
    </w:p>
    <w:p w14:paraId="49A9FE53">
      <w:pPr>
        <w:pStyle w:val="15"/>
        <w:spacing w:after="0" w:line="360" w:lineRule="auto"/>
        <w:ind w:left="0" w:leftChars="0" w:firstLine="562"/>
        <w:jc w:val="left"/>
        <w:rPr>
          <w:rFonts w:hint="eastAsia" w:ascii="宋体" w:hAnsi="宋体" w:eastAsia="宋体" w:cs="宋体"/>
          <w:color w:val="auto"/>
          <w:szCs w:val="28"/>
        </w:rPr>
      </w:pPr>
      <w:r>
        <w:rPr>
          <w:rFonts w:hint="eastAsia" w:ascii="宋体" w:hAnsi="宋体" w:eastAsia="宋体" w:cs="宋体"/>
          <w:b/>
          <w:bCs/>
          <w:color w:val="auto"/>
          <w:szCs w:val="28"/>
        </w:rPr>
        <w:t>▲</w:t>
      </w:r>
      <w:r>
        <w:rPr>
          <w:rFonts w:hint="eastAsia" w:ascii="宋体" w:hAnsi="宋体" w:eastAsia="宋体" w:cs="宋体"/>
          <w:color w:val="auto"/>
          <w:szCs w:val="28"/>
        </w:rPr>
        <w:t>实现互认数据可视化，对医疗机构检查检验结果互认和资料共享情况进行分析，以大屏的方式，全面化展示互认整体情况。</w:t>
      </w:r>
    </w:p>
    <w:p w14:paraId="2169D240">
      <w:pPr>
        <w:pStyle w:val="3"/>
        <w:numPr>
          <w:ilvl w:val="0"/>
          <w:numId w:val="3"/>
        </w:numPr>
        <w:ind w:left="560" w:leftChars="200" w:firstLine="643"/>
        <w:rPr>
          <w:color w:val="auto"/>
        </w:rPr>
      </w:pPr>
      <w:r>
        <w:rPr>
          <w:rFonts w:hint="eastAsia"/>
          <w:color w:val="auto"/>
        </w:rPr>
        <w:t>中心药房</w:t>
      </w:r>
    </w:p>
    <w:p w14:paraId="16C8D026">
      <w:pPr>
        <w:spacing w:line="360" w:lineRule="auto"/>
        <w:ind w:firstLine="560" w:firstLineChars="200"/>
        <w:jc w:val="left"/>
        <w:rPr>
          <w:rFonts w:hint="eastAsia" w:ascii="宋体" w:hAnsi="宋体" w:eastAsia="宋体" w:cs="宋体"/>
          <w:color w:val="auto"/>
          <w:szCs w:val="28"/>
        </w:rPr>
      </w:pPr>
      <w:r>
        <w:rPr>
          <w:rFonts w:hint="eastAsia" w:ascii="宋体" w:hAnsi="宋体" w:eastAsia="宋体" w:cs="宋体"/>
          <w:color w:val="auto"/>
          <w:szCs w:val="28"/>
        </w:rPr>
        <w:t>实现医共体内各医疗机构相关药品耗材的统一管理，提供库存管理功能；包括价格管理、配送管理、分类目录管理、基本信息维护、追溯码管理、采购管理、配送管理、入库管理、出库管理、调拨管理、库存盘点等功能。实现总院及各分院药品目录统一、采购统一、调配统一、使用统一，以及医保报销政策同质化。</w:t>
      </w:r>
    </w:p>
    <w:p w14:paraId="06BCAB5F">
      <w:pPr>
        <w:pStyle w:val="4"/>
        <w:ind w:firstLineChars="0"/>
        <w:rPr>
          <w:color w:val="auto"/>
        </w:rPr>
      </w:pPr>
      <w:r>
        <w:rPr>
          <w:rFonts w:hint="eastAsia"/>
          <w:color w:val="auto"/>
        </w:rPr>
        <w:t>（一）总体要求：</w:t>
      </w:r>
    </w:p>
    <w:p w14:paraId="5521C3C2">
      <w:pPr>
        <w:spacing w:line="360" w:lineRule="auto"/>
        <w:ind w:firstLine="560" w:firstLineChars="200"/>
        <w:jc w:val="left"/>
        <w:rPr>
          <w:rFonts w:hint="eastAsia" w:ascii="宋体" w:hAnsi="宋体" w:eastAsia="宋体" w:cs="宋体"/>
          <w:color w:val="auto"/>
          <w:szCs w:val="28"/>
        </w:rPr>
      </w:pPr>
      <w:r>
        <w:rPr>
          <w:rFonts w:hint="eastAsia" w:ascii="宋体" w:hAnsi="宋体" w:eastAsia="宋体" w:cs="宋体"/>
          <w:color w:val="auto"/>
          <w:szCs w:val="28"/>
        </w:rPr>
        <w:tab/>
      </w:r>
      <w:r>
        <w:rPr>
          <w:rFonts w:hint="eastAsia" w:ascii="宋体" w:hAnsi="宋体" w:eastAsia="宋体" w:cs="宋体"/>
          <w:color w:val="auto"/>
          <w:szCs w:val="28"/>
        </w:rPr>
        <w:t>1.</w:t>
      </w:r>
      <w:r>
        <w:rPr>
          <w:rFonts w:hint="eastAsia" w:ascii="宋体" w:hAnsi="宋体" w:eastAsia="宋体" w:cs="宋体"/>
          <w:color w:val="auto"/>
          <w:szCs w:val="28"/>
        </w:rPr>
        <w:tab/>
      </w:r>
      <w:r>
        <w:rPr>
          <w:rFonts w:hint="eastAsia" w:ascii="宋体" w:hAnsi="宋体" w:eastAsia="宋体" w:cs="宋体"/>
          <w:color w:val="auto"/>
          <w:szCs w:val="28"/>
        </w:rPr>
        <w:t>系统需符合国家药品、耗材管理相关法规及医共体建设标准，支持医共体内各医疗机构药品耗材信息的统一管理与数据共享。</w:t>
      </w:r>
    </w:p>
    <w:p w14:paraId="7EBB71B4">
      <w:pPr>
        <w:spacing w:line="360" w:lineRule="auto"/>
        <w:ind w:firstLine="560" w:firstLineChars="200"/>
        <w:jc w:val="left"/>
        <w:rPr>
          <w:rFonts w:hint="eastAsia" w:ascii="宋体" w:hAnsi="宋体" w:eastAsia="宋体" w:cs="宋体"/>
          <w:color w:val="auto"/>
          <w:szCs w:val="28"/>
        </w:rPr>
      </w:pPr>
      <w:r>
        <w:rPr>
          <w:rFonts w:hint="eastAsia" w:ascii="宋体" w:hAnsi="宋体" w:eastAsia="宋体" w:cs="宋体"/>
          <w:color w:val="auto"/>
          <w:szCs w:val="28"/>
        </w:rPr>
        <w:tab/>
      </w:r>
      <w:r>
        <w:rPr>
          <w:rFonts w:hint="eastAsia" w:ascii="宋体" w:hAnsi="宋体" w:eastAsia="宋体" w:cs="宋体"/>
          <w:color w:val="auto"/>
          <w:szCs w:val="28"/>
        </w:rPr>
        <w:t>2.</w:t>
      </w:r>
      <w:r>
        <w:rPr>
          <w:rFonts w:hint="eastAsia" w:ascii="宋体" w:hAnsi="宋体" w:eastAsia="宋体" w:cs="宋体"/>
          <w:color w:val="auto"/>
          <w:szCs w:val="28"/>
        </w:rPr>
        <w:tab/>
      </w:r>
      <w:r>
        <w:rPr>
          <w:rFonts w:hint="eastAsia" w:ascii="宋体" w:hAnsi="宋体" w:eastAsia="宋体" w:cs="宋体"/>
          <w:color w:val="auto"/>
          <w:szCs w:val="28"/>
        </w:rPr>
        <w:t>采</w:t>
      </w:r>
      <w:bookmarkStart w:id="5" w:name="OLE_LINK124"/>
      <w:r>
        <w:rPr>
          <w:rFonts w:hint="eastAsia" w:ascii="宋体" w:hAnsi="宋体" w:eastAsia="宋体" w:cs="宋体"/>
          <w:color w:val="auto"/>
          <w:szCs w:val="28"/>
        </w:rPr>
        <w:t>用模块化架构，具备良好的兼容性，可与医共体内各成员单位HIS系统、</w:t>
      </w:r>
      <w:bookmarkEnd w:id="5"/>
      <w:r>
        <w:rPr>
          <w:rFonts w:hint="eastAsia" w:ascii="宋体" w:hAnsi="宋体" w:eastAsia="宋体" w:cs="宋体"/>
          <w:color w:val="auto"/>
          <w:szCs w:val="28"/>
        </w:rPr>
        <w:t>采购平台等实现数据对接，确保信息实时同步。</w:t>
      </w:r>
    </w:p>
    <w:p w14:paraId="46EF40F5">
      <w:pPr>
        <w:spacing w:line="360" w:lineRule="auto"/>
        <w:ind w:firstLine="560" w:firstLineChars="200"/>
        <w:jc w:val="left"/>
        <w:rPr>
          <w:rFonts w:hint="eastAsia" w:ascii="宋体" w:hAnsi="宋体" w:eastAsia="宋体" w:cs="宋体"/>
          <w:color w:val="auto"/>
          <w:szCs w:val="28"/>
        </w:rPr>
      </w:pPr>
      <w:r>
        <w:rPr>
          <w:rFonts w:hint="eastAsia" w:ascii="宋体" w:hAnsi="宋体" w:eastAsia="宋体" w:cs="宋体"/>
          <w:color w:val="auto"/>
          <w:szCs w:val="28"/>
        </w:rPr>
        <w:tab/>
      </w:r>
      <w:r>
        <w:rPr>
          <w:rFonts w:hint="eastAsia" w:ascii="宋体" w:hAnsi="宋体" w:eastAsia="宋体" w:cs="宋体"/>
          <w:color w:val="auto"/>
          <w:szCs w:val="28"/>
        </w:rPr>
        <w:t>3.</w:t>
      </w:r>
      <w:r>
        <w:rPr>
          <w:rFonts w:hint="eastAsia" w:ascii="宋体" w:hAnsi="宋体" w:eastAsia="宋体" w:cs="宋体"/>
          <w:color w:val="auto"/>
          <w:szCs w:val="28"/>
        </w:rPr>
        <w:tab/>
      </w:r>
      <w:bookmarkStart w:id="6" w:name="OLE_LINK125"/>
      <w:r>
        <w:rPr>
          <w:rFonts w:hint="eastAsia" w:ascii="宋体" w:hAnsi="宋体" w:eastAsia="宋体" w:cs="宋体"/>
          <w:color w:val="auto"/>
          <w:szCs w:val="28"/>
        </w:rPr>
        <w:t>系统需具备高安全性，保障药品耗材数据及患者相关信息的隐私与安全，操作留痕可追溯。</w:t>
      </w:r>
    </w:p>
    <w:bookmarkEnd w:id="6"/>
    <w:p w14:paraId="797AD60B">
      <w:pPr>
        <w:pStyle w:val="4"/>
        <w:ind w:firstLineChars="0"/>
        <w:rPr>
          <w:color w:val="auto"/>
        </w:rPr>
      </w:pPr>
      <w:r>
        <w:rPr>
          <w:rFonts w:hint="eastAsia"/>
          <w:color w:val="auto"/>
        </w:rPr>
        <w:t>（二）系统需提供以下功能：</w:t>
      </w:r>
    </w:p>
    <w:p w14:paraId="3E22B8A1">
      <w:pPr>
        <w:spacing w:line="360" w:lineRule="auto"/>
        <w:ind w:firstLine="562" w:firstLineChars="200"/>
        <w:jc w:val="left"/>
        <w:rPr>
          <w:rFonts w:hint="eastAsia" w:ascii="宋体" w:hAnsi="宋体" w:eastAsia="宋体" w:cs="宋体"/>
          <w:b/>
          <w:bCs/>
          <w:color w:val="auto"/>
          <w:szCs w:val="28"/>
        </w:rPr>
      </w:pPr>
      <w:r>
        <w:rPr>
          <w:rFonts w:hint="eastAsia" w:ascii="宋体" w:hAnsi="宋体" w:eastAsia="宋体" w:cs="宋体"/>
          <w:b/>
          <w:bCs/>
          <w:color w:val="auto"/>
          <w:szCs w:val="28"/>
        </w:rPr>
        <w:t>分类目录管理：</w:t>
      </w:r>
    </w:p>
    <w:p w14:paraId="7CB3551D">
      <w:pPr>
        <w:spacing w:line="360" w:lineRule="auto"/>
        <w:ind w:firstLine="560" w:firstLineChars="200"/>
        <w:jc w:val="left"/>
        <w:rPr>
          <w:rFonts w:hint="eastAsia" w:ascii="宋体" w:hAnsi="宋体" w:eastAsia="宋体" w:cs="宋体"/>
          <w:color w:val="auto"/>
          <w:szCs w:val="28"/>
        </w:rPr>
      </w:pPr>
      <w:r>
        <w:rPr>
          <w:rFonts w:hint="eastAsia" w:ascii="宋体" w:hAnsi="宋体" w:eastAsia="宋体" w:cs="宋体"/>
          <w:color w:val="auto"/>
          <w:szCs w:val="28"/>
        </w:rPr>
        <w:tab/>
      </w:r>
      <w:r>
        <w:rPr>
          <w:rFonts w:hint="eastAsia" w:ascii="宋体" w:hAnsi="宋体" w:eastAsia="宋体" w:cs="宋体"/>
          <w:b/>
          <w:bCs/>
          <w:color w:val="auto"/>
          <w:szCs w:val="28"/>
        </w:rPr>
        <w:t>▲</w:t>
      </w:r>
      <w:r>
        <w:rPr>
          <w:rFonts w:hint="eastAsia" w:ascii="宋体" w:hAnsi="宋体" w:eastAsia="宋体" w:cs="宋体"/>
          <w:color w:val="auto"/>
          <w:szCs w:val="28"/>
        </w:rPr>
        <w:t>支持按国家药品/耗材分类标准（如药品分类、耗材分类代码）建立统一目录，包含多级分类结构，可自定义分类维度。</w:t>
      </w:r>
    </w:p>
    <w:p w14:paraId="1C998FF6">
      <w:pPr>
        <w:spacing w:line="360" w:lineRule="auto"/>
        <w:ind w:firstLine="560" w:firstLineChars="200"/>
        <w:jc w:val="left"/>
        <w:rPr>
          <w:rFonts w:hint="eastAsia" w:ascii="宋体" w:hAnsi="宋体" w:eastAsia="宋体" w:cs="宋体"/>
          <w:color w:val="auto"/>
          <w:szCs w:val="28"/>
        </w:rPr>
      </w:pPr>
      <w:r>
        <w:rPr>
          <w:rFonts w:hint="eastAsia" w:ascii="宋体" w:hAnsi="宋体" w:eastAsia="宋体" w:cs="宋体"/>
          <w:color w:val="auto"/>
          <w:szCs w:val="28"/>
        </w:rPr>
        <w:tab/>
      </w:r>
      <w:bookmarkStart w:id="7" w:name="OLE_LINK126"/>
      <w:r>
        <w:rPr>
          <w:rFonts w:hint="eastAsia" w:ascii="宋体" w:hAnsi="宋体" w:eastAsia="宋体" w:cs="宋体"/>
          <w:color w:val="auto"/>
          <w:szCs w:val="28"/>
        </w:rPr>
        <w:t>支持目录的新增、修改、删除、查询。</w:t>
      </w:r>
      <w:bookmarkEnd w:id="7"/>
    </w:p>
    <w:p w14:paraId="7FA7CC70">
      <w:pPr>
        <w:spacing w:line="360" w:lineRule="auto"/>
        <w:ind w:firstLine="562" w:firstLineChars="200"/>
        <w:jc w:val="left"/>
        <w:rPr>
          <w:rFonts w:hint="eastAsia" w:ascii="宋体" w:hAnsi="宋体" w:eastAsia="宋体" w:cs="宋体"/>
          <w:b/>
          <w:bCs/>
          <w:color w:val="auto"/>
          <w:szCs w:val="28"/>
        </w:rPr>
      </w:pPr>
      <w:r>
        <w:rPr>
          <w:rFonts w:hint="eastAsia" w:ascii="宋体" w:hAnsi="宋体" w:eastAsia="宋体" w:cs="宋体"/>
          <w:b/>
          <w:bCs/>
          <w:color w:val="auto"/>
          <w:szCs w:val="28"/>
        </w:rPr>
        <w:t>基本信息维护：</w:t>
      </w:r>
    </w:p>
    <w:p w14:paraId="7DC1E3EF">
      <w:pPr>
        <w:spacing w:line="360" w:lineRule="auto"/>
        <w:ind w:firstLine="560" w:firstLineChars="200"/>
        <w:jc w:val="left"/>
        <w:rPr>
          <w:rFonts w:hint="eastAsia" w:ascii="宋体" w:hAnsi="宋体" w:eastAsia="宋体" w:cs="宋体"/>
          <w:color w:val="auto"/>
          <w:szCs w:val="28"/>
        </w:rPr>
      </w:pPr>
      <w:r>
        <w:rPr>
          <w:rFonts w:hint="eastAsia" w:ascii="宋体" w:hAnsi="宋体" w:eastAsia="宋体" w:cs="宋体"/>
          <w:color w:val="auto"/>
          <w:szCs w:val="28"/>
        </w:rPr>
        <w:tab/>
      </w:r>
      <w:r>
        <w:rPr>
          <w:rFonts w:hint="eastAsia" w:ascii="宋体" w:hAnsi="宋体" w:eastAsia="宋体" w:cs="宋体"/>
          <w:color w:val="auto"/>
          <w:szCs w:val="28"/>
        </w:rPr>
        <w:t>记录药品/耗材的名称、规格、型号、生产厂家、供应商、批准文号、有效期、价格等基础信息，支持批量导入与维护。</w:t>
      </w:r>
    </w:p>
    <w:p w14:paraId="124C7D16">
      <w:pPr>
        <w:spacing w:line="360" w:lineRule="auto"/>
        <w:ind w:firstLine="560" w:firstLineChars="200"/>
        <w:jc w:val="left"/>
        <w:rPr>
          <w:rFonts w:hint="eastAsia" w:ascii="宋体" w:hAnsi="宋体" w:eastAsia="宋体" w:cs="宋体"/>
          <w:color w:val="auto"/>
          <w:szCs w:val="28"/>
        </w:rPr>
      </w:pPr>
      <w:r>
        <w:rPr>
          <w:rFonts w:hint="eastAsia" w:ascii="宋体" w:hAnsi="宋体" w:eastAsia="宋体" w:cs="宋体"/>
          <w:color w:val="auto"/>
          <w:szCs w:val="28"/>
        </w:rPr>
        <w:tab/>
      </w:r>
      <w:r>
        <w:rPr>
          <w:rFonts w:hint="eastAsia" w:ascii="宋体" w:hAnsi="宋体" w:eastAsia="宋体" w:cs="宋体"/>
          <w:color w:val="auto"/>
          <w:szCs w:val="28"/>
        </w:rPr>
        <w:t>支持按医疗机构、品类等维度查询和管理药品耗材基本信息。</w:t>
      </w:r>
    </w:p>
    <w:p w14:paraId="78B2CC7A">
      <w:pPr>
        <w:spacing w:line="360" w:lineRule="auto"/>
        <w:ind w:firstLine="562" w:firstLineChars="200"/>
        <w:jc w:val="left"/>
        <w:rPr>
          <w:rFonts w:hint="eastAsia" w:ascii="宋体" w:hAnsi="宋体" w:eastAsia="宋体" w:cs="宋体"/>
          <w:b/>
          <w:bCs/>
          <w:color w:val="auto"/>
          <w:szCs w:val="28"/>
        </w:rPr>
      </w:pPr>
      <w:r>
        <w:rPr>
          <w:rFonts w:hint="eastAsia" w:ascii="宋体" w:hAnsi="宋体" w:eastAsia="宋体" w:cs="宋体"/>
          <w:b/>
          <w:bCs/>
          <w:color w:val="auto"/>
          <w:szCs w:val="28"/>
        </w:rPr>
        <w:t>追溯码管理：</w:t>
      </w:r>
    </w:p>
    <w:p w14:paraId="198458A1">
      <w:pPr>
        <w:spacing w:line="360" w:lineRule="auto"/>
        <w:ind w:firstLine="560" w:firstLineChars="200"/>
        <w:jc w:val="left"/>
        <w:rPr>
          <w:rFonts w:hint="eastAsia" w:ascii="宋体" w:hAnsi="宋体" w:eastAsia="宋体" w:cs="宋体"/>
          <w:color w:val="auto"/>
          <w:szCs w:val="28"/>
        </w:rPr>
      </w:pPr>
      <w:r>
        <w:rPr>
          <w:rFonts w:hint="eastAsia" w:ascii="宋体" w:hAnsi="宋体" w:eastAsia="宋体" w:cs="宋体"/>
          <w:color w:val="auto"/>
          <w:szCs w:val="28"/>
        </w:rPr>
        <w:tab/>
      </w:r>
      <w:r>
        <w:rPr>
          <w:rFonts w:hint="eastAsia" w:ascii="宋体" w:hAnsi="宋体" w:eastAsia="宋体" w:cs="宋体"/>
          <w:color w:val="auto"/>
          <w:szCs w:val="28"/>
        </w:rPr>
        <w:t>支持扫描或录入药品/耗材的追溯码，实现全流程追溯，关联采购、入库、出库、使用等环节信息。</w:t>
      </w:r>
    </w:p>
    <w:p w14:paraId="2C930509">
      <w:pPr>
        <w:spacing w:line="360" w:lineRule="auto"/>
        <w:ind w:firstLine="560" w:firstLineChars="200"/>
        <w:jc w:val="left"/>
        <w:rPr>
          <w:rFonts w:hint="eastAsia" w:ascii="宋体" w:hAnsi="宋体" w:eastAsia="宋体" w:cs="宋体"/>
          <w:color w:val="auto"/>
          <w:szCs w:val="28"/>
        </w:rPr>
      </w:pPr>
      <w:r>
        <w:rPr>
          <w:rFonts w:hint="eastAsia" w:ascii="宋体" w:hAnsi="宋体" w:eastAsia="宋体" w:cs="宋体"/>
          <w:color w:val="auto"/>
          <w:szCs w:val="28"/>
        </w:rPr>
        <w:tab/>
      </w:r>
      <w:r>
        <w:rPr>
          <w:rFonts w:hint="eastAsia" w:ascii="宋体" w:hAnsi="宋体" w:eastAsia="宋体" w:cs="宋体"/>
          <w:color w:val="auto"/>
          <w:szCs w:val="28"/>
        </w:rPr>
        <w:t>可通过追溯码查询药品耗材的来源、流通路径及相关记录。</w:t>
      </w:r>
    </w:p>
    <w:p w14:paraId="34D906FC">
      <w:pPr>
        <w:spacing w:line="360" w:lineRule="auto"/>
        <w:ind w:firstLine="562" w:firstLineChars="200"/>
        <w:jc w:val="left"/>
        <w:rPr>
          <w:rFonts w:hint="eastAsia" w:ascii="宋体" w:hAnsi="宋体" w:eastAsia="宋体" w:cs="宋体"/>
          <w:b/>
          <w:bCs/>
          <w:color w:val="auto"/>
          <w:szCs w:val="28"/>
        </w:rPr>
      </w:pPr>
      <w:r>
        <w:rPr>
          <w:rFonts w:hint="eastAsia" w:ascii="宋体" w:hAnsi="宋体" w:eastAsia="宋体" w:cs="宋体"/>
          <w:b/>
          <w:bCs/>
          <w:color w:val="auto"/>
          <w:szCs w:val="28"/>
        </w:rPr>
        <w:t>采购管理：</w:t>
      </w:r>
    </w:p>
    <w:p w14:paraId="435267D9">
      <w:pPr>
        <w:spacing w:line="360" w:lineRule="auto"/>
        <w:ind w:firstLine="560" w:firstLineChars="200"/>
        <w:jc w:val="left"/>
        <w:rPr>
          <w:rFonts w:hint="eastAsia" w:ascii="宋体" w:hAnsi="宋体" w:eastAsia="宋体" w:cs="宋体"/>
          <w:color w:val="auto"/>
          <w:szCs w:val="28"/>
        </w:rPr>
      </w:pPr>
      <w:r>
        <w:rPr>
          <w:rFonts w:hint="eastAsia" w:ascii="宋体" w:hAnsi="宋体" w:eastAsia="宋体" w:cs="宋体"/>
          <w:color w:val="auto"/>
          <w:szCs w:val="28"/>
        </w:rPr>
        <w:tab/>
      </w:r>
      <w:r>
        <w:rPr>
          <w:rFonts w:hint="eastAsia" w:ascii="宋体" w:hAnsi="宋体" w:eastAsia="宋体" w:cs="宋体"/>
          <w:color w:val="auto"/>
          <w:szCs w:val="28"/>
        </w:rPr>
        <w:t>1.</w:t>
      </w:r>
      <w:r>
        <w:rPr>
          <w:rFonts w:hint="eastAsia" w:ascii="宋体" w:hAnsi="宋体" w:eastAsia="宋体" w:cs="宋体"/>
          <w:color w:val="auto"/>
          <w:szCs w:val="28"/>
        </w:rPr>
        <w:tab/>
      </w:r>
      <w:r>
        <w:rPr>
          <w:rFonts w:hint="eastAsia" w:ascii="宋体" w:hAnsi="宋体" w:eastAsia="宋体" w:cs="宋体"/>
          <w:color w:val="auto"/>
          <w:szCs w:val="28"/>
        </w:rPr>
        <w:t>支持医共体统一采购计划制定，各医疗机构可提交采购需求，系统汇总生成采购清单。</w:t>
      </w:r>
    </w:p>
    <w:p w14:paraId="22175AB9">
      <w:pPr>
        <w:spacing w:line="360" w:lineRule="auto"/>
        <w:ind w:firstLine="560" w:firstLineChars="200"/>
        <w:jc w:val="left"/>
        <w:rPr>
          <w:rFonts w:hint="eastAsia" w:ascii="宋体" w:hAnsi="宋体" w:eastAsia="宋体" w:cs="宋体"/>
          <w:color w:val="auto"/>
          <w:szCs w:val="28"/>
        </w:rPr>
      </w:pPr>
      <w:r>
        <w:rPr>
          <w:rFonts w:hint="eastAsia" w:ascii="宋体" w:hAnsi="宋体" w:eastAsia="宋体" w:cs="宋体"/>
          <w:color w:val="auto"/>
          <w:szCs w:val="28"/>
        </w:rPr>
        <w:tab/>
      </w:r>
      <w:r>
        <w:rPr>
          <w:rFonts w:hint="eastAsia" w:ascii="宋体" w:hAnsi="宋体" w:eastAsia="宋体" w:cs="宋体"/>
          <w:color w:val="auto"/>
          <w:szCs w:val="28"/>
        </w:rPr>
        <w:t>2.</w:t>
      </w:r>
      <w:r>
        <w:rPr>
          <w:rFonts w:hint="eastAsia" w:ascii="宋体" w:hAnsi="宋体" w:eastAsia="宋体" w:cs="宋体"/>
          <w:color w:val="auto"/>
          <w:szCs w:val="28"/>
        </w:rPr>
        <w:tab/>
      </w:r>
      <w:r>
        <w:rPr>
          <w:rFonts w:hint="eastAsia" w:ascii="宋体" w:hAnsi="宋体" w:eastAsia="宋体" w:cs="宋体"/>
          <w:color w:val="auto"/>
          <w:szCs w:val="28"/>
        </w:rPr>
        <w:t>支持与供应商对接，实现采购订单的在线生成、发送、确认及状态跟踪（如待发货、已发货）。</w:t>
      </w:r>
    </w:p>
    <w:p w14:paraId="4F4151EB">
      <w:pPr>
        <w:spacing w:line="360" w:lineRule="auto"/>
        <w:ind w:firstLine="562" w:firstLineChars="200"/>
        <w:jc w:val="left"/>
        <w:rPr>
          <w:rFonts w:hint="eastAsia" w:ascii="宋体" w:hAnsi="宋体" w:eastAsia="宋体" w:cs="宋体"/>
          <w:b/>
          <w:bCs/>
          <w:color w:val="auto"/>
          <w:szCs w:val="28"/>
        </w:rPr>
      </w:pPr>
      <w:r>
        <w:rPr>
          <w:rFonts w:hint="eastAsia" w:ascii="宋体" w:hAnsi="宋体" w:eastAsia="宋体" w:cs="宋体"/>
          <w:b/>
          <w:bCs/>
          <w:color w:val="auto"/>
          <w:szCs w:val="28"/>
        </w:rPr>
        <w:t>配送管理：</w:t>
      </w:r>
    </w:p>
    <w:p w14:paraId="17C22ABE">
      <w:pPr>
        <w:spacing w:line="360" w:lineRule="auto"/>
        <w:ind w:firstLine="560" w:firstLineChars="200"/>
        <w:jc w:val="left"/>
        <w:rPr>
          <w:rFonts w:hint="eastAsia" w:ascii="宋体" w:hAnsi="宋体" w:eastAsia="宋体" w:cs="宋体"/>
          <w:color w:val="auto"/>
          <w:szCs w:val="28"/>
        </w:rPr>
      </w:pPr>
      <w:r>
        <w:rPr>
          <w:rFonts w:hint="eastAsia" w:ascii="宋体" w:hAnsi="宋体" w:eastAsia="宋体" w:cs="宋体"/>
          <w:color w:val="auto"/>
          <w:szCs w:val="28"/>
        </w:rPr>
        <w:tab/>
      </w:r>
      <w:r>
        <w:rPr>
          <w:rFonts w:hint="eastAsia" w:ascii="宋体" w:hAnsi="宋体" w:eastAsia="宋体" w:cs="宋体"/>
          <w:color w:val="auto"/>
          <w:szCs w:val="28"/>
        </w:rPr>
        <w:t>1.</w:t>
      </w:r>
      <w:r>
        <w:rPr>
          <w:rFonts w:hint="eastAsia" w:ascii="宋体" w:hAnsi="宋体" w:eastAsia="宋体" w:cs="宋体"/>
          <w:color w:val="auto"/>
          <w:szCs w:val="28"/>
        </w:rPr>
        <w:tab/>
      </w:r>
      <w:r>
        <w:rPr>
          <w:rFonts w:hint="eastAsia" w:ascii="宋体" w:hAnsi="宋体" w:eastAsia="宋体" w:cs="宋体"/>
          <w:color w:val="auto"/>
          <w:szCs w:val="28"/>
        </w:rPr>
        <w:t>关联采购订单，跟踪药品耗材的配送状态，记录配送时间、配送人员、接收机构等信息。</w:t>
      </w:r>
    </w:p>
    <w:p w14:paraId="58419895">
      <w:pPr>
        <w:spacing w:line="360" w:lineRule="auto"/>
        <w:ind w:firstLine="560" w:firstLineChars="200"/>
        <w:jc w:val="left"/>
        <w:rPr>
          <w:rFonts w:hint="eastAsia" w:ascii="宋体" w:hAnsi="宋体" w:eastAsia="宋体" w:cs="宋体"/>
          <w:color w:val="auto"/>
          <w:szCs w:val="28"/>
        </w:rPr>
      </w:pPr>
      <w:r>
        <w:rPr>
          <w:rFonts w:hint="eastAsia" w:ascii="宋体" w:hAnsi="宋体" w:eastAsia="宋体" w:cs="宋体"/>
          <w:color w:val="auto"/>
          <w:szCs w:val="28"/>
        </w:rPr>
        <w:tab/>
      </w:r>
      <w:r>
        <w:rPr>
          <w:rFonts w:hint="eastAsia" w:ascii="宋体" w:hAnsi="宋体" w:eastAsia="宋体" w:cs="宋体"/>
          <w:color w:val="auto"/>
          <w:szCs w:val="28"/>
        </w:rPr>
        <w:t>2.</w:t>
      </w:r>
      <w:r>
        <w:rPr>
          <w:rFonts w:hint="eastAsia" w:ascii="宋体" w:hAnsi="宋体" w:eastAsia="宋体" w:cs="宋体"/>
          <w:color w:val="auto"/>
          <w:szCs w:val="28"/>
        </w:rPr>
        <w:tab/>
      </w:r>
      <w:r>
        <w:rPr>
          <w:rFonts w:hint="eastAsia" w:ascii="宋体" w:hAnsi="宋体" w:eastAsia="宋体" w:cs="宋体"/>
          <w:color w:val="auto"/>
          <w:szCs w:val="28"/>
        </w:rPr>
        <w:t>支持配送异常提醒（如延迟配送、破损等），并记录处理结果。</w:t>
      </w:r>
    </w:p>
    <w:p w14:paraId="116EA07B">
      <w:pPr>
        <w:spacing w:line="360" w:lineRule="auto"/>
        <w:ind w:firstLine="562" w:firstLineChars="200"/>
        <w:jc w:val="left"/>
        <w:rPr>
          <w:rFonts w:hint="eastAsia" w:ascii="宋体" w:hAnsi="宋体" w:eastAsia="宋体" w:cs="宋体"/>
          <w:b/>
          <w:bCs/>
          <w:color w:val="auto"/>
          <w:szCs w:val="28"/>
        </w:rPr>
      </w:pPr>
      <w:r>
        <w:rPr>
          <w:rFonts w:hint="eastAsia" w:ascii="宋体" w:hAnsi="宋体" w:eastAsia="宋体" w:cs="宋体"/>
          <w:b/>
          <w:bCs/>
          <w:color w:val="auto"/>
          <w:szCs w:val="28"/>
        </w:rPr>
        <w:t>库存管理：</w:t>
      </w:r>
    </w:p>
    <w:p w14:paraId="33B2541F">
      <w:pPr>
        <w:spacing w:line="360" w:lineRule="auto"/>
        <w:ind w:firstLine="560" w:firstLineChars="200"/>
        <w:jc w:val="left"/>
        <w:rPr>
          <w:rFonts w:hint="eastAsia" w:ascii="宋体" w:hAnsi="宋体" w:eastAsia="宋体" w:cs="宋体"/>
          <w:color w:val="auto"/>
          <w:szCs w:val="28"/>
        </w:rPr>
      </w:pPr>
      <w:r>
        <w:rPr>
          <w:rFonts w:hint="eastAsia" w:ascii="宋体" w:hAnsi="宋体" w:eastAsia="宋体" w:cs="宋体"/>
          <w:color w:val="auto"/>
          <w:szCs w:val="28"/>
        </w:rPr>
        <w:tab/>
      </w:r>
      <w:r>
        <w:rPr>
          <w:rFonts w:hint="eastAsia" w:ascii="宋体" w:hAnsi="宋体" w:eastAsia="宋体" w:cs="宋体"/>
          <w:color w:val="auto"/>
          <w:szCs w:val="28"/>
        </w:rPr>
        <w:t>1.</w:t>
      </w:r>
      <w:r>
        <w:rPr>
          <w:rFonts w:hint="eastAsia" w:ascii="宋体" w:hAnsi="宋体" w:eastAsia="宋体" w:cs="宋体"/>
          <w:color w:val="auto"/>
          <w:szCs w:val="28"/>
        </w:rPr>
        <w:tab/>
      </w:r>
      <w:r>
        <w:rPr>
          <w:rFonts w:hint="eastAsia" w:ascii="宋体" w:hAnsi="宋体" w:eastAsia="宋体" w:cs="宋体"/>
          <w:color w:val="auto"/>
          <w:szCs w:val="28"/>
        </w:rPr>
        <w:t>入库管理：</w:t>
      </w:r>
    </w:p>
    <w:p w14:paraId="6AAD9E88">
      <w:pPr>
        <w:spacing w:line="360" w:lineRule="auto"/>
        <w:ind w:firstLine="560" w:firstLineChars="200"/>
        <w:jc w:val="left"/>
        <w:rPr>
          <w:rFonts w:hint="eastAsia" w:ascii="宋体" w:hAnsi="宋体" w:eastAsia="宋体" w:cs="宋体"/>
          <w:color w:val="auto"/>
          <w:szCs w:val="28"/>
        </w:rPr>
      </w:pPr>
      <w:r>
        <w:rPr>
          <w:rFonts w:hint="eastAsia" w:ascii="宋体" w:hAnsi="宋体" w:eastAsia="宋体" w:cs="宋体"/>
          <w:color w:val="auto"/>
          <w:szCs w:val="28"/>
        </w:rPr>
        <w:tab/>
      </w:r>
      <w:r>
        <w:rPr>
          <w:rFonts w:hint="eastAsia" w:ascii="宋体" w:hAnsi="宋体" w:eastAsia="宋体" w:cs="宋体"/>
          <w:color w:val="auto"/>
          <w:szCs w:val="28"/>
        </w:rPr>
        <w:t>支持按采购单、调拨单等办理入库，录入实际到货数量、批号、有效期等信息，与追溯码关联。</w:t>
      </w:r>
    </w:p>
    <w:p w14:paraId="3EE5D4EC">
      <w:pPr>
        <w:spacing w:line="360" w:lineRule="auto"/>
        <w:ind w:firstLine="560" w:firstLineChars="200"/>
        <w:jc w:val="left"/>
        <w:rPr>
          <w:rFonts w:hint="eastAsia" w:ascii="宋体" w:hAnsi="宋体" w:eastAsia="宋体" w:cs="宋体"/>
          <w:color w:val="auto"/>
          <w:szCs w:val="28"/>
        </w:rPr>
      </w:pPr>
      <w:r>
        <w:rPr>
          <w:rFonts w:hint="eastAsia" w:ascii="宋体" w:hAnsi="宋体" w:eastAsia="宋体" w:cs="宋体"/>
          <w:color w:val="auto"/>
          <w:szCs w:val="28"/>
        </w:rPr>
        <w:tab/>
      </w:r>
      <w:r>
        <w:rPr>
          <w:rFonts w:hint="eastAsia" w:ascii="宋体" w:hAnsi="宋体" w:eastAsia="宋体" w:cs="宋体"/>
          <w:color w:val="auto"/>
          <w:szCs w:val="28"/>
        </w:rPr>
        <w:t>自动更新库存数据，生成入库记录，支持入库单打印与导出。</w:t>
      </w:r>
    </w:p>
    <w:p w14:paraId="08E0FA58">
      <w:pPr>
        <w:spacing w:line="360" w:lineRule="auto"/>
        <w:ind w:firstLine="560" w:firstLineChars="200"/>
        <w:jc w:val="left"/>
        <w:rPr>
          <w:rFonts w:hint="eastAsia" w:ascii="宋体" w:hAnsi="宋体" w:eastAsia="宋体" w:cs="宋体"/>
          <w:color w:val="auto"/>
          <w:szCs w:val="28"/>
        </w:rPr>
      </w:pPr>
      <w:r>
        <w:rPr>
          <w:rFonts w:hint="eastAsia" w:ascii="宋体" w:hAnsi="宋体" w:eastAsia="宋体" w:cs="宋体"/>
          <w:color w:val="auto"/>
          <w:szCs w:val="28"/>
        </w:rPr>
        <w:tab/>
      </w:r>
      <w:r>
        <w:rPr>
          <w:rFonts w:hint="eastAsia" w:ascii="宋体" w:hAnsi="宋体" w:eastAsia="宋体" w:cs="宋体"/>
          <w:color w:val="auto"/>
          <w:szCs w:val="28"/>
        </w:rPr>
        <w:t>2.</w:t>
      </w:r>
      <w:r>
        <w:rPr>
          <w:rFonts w:hint="eastAsia" w:ascii="宋体" w:hAnsi="宋体" w:eastAsia="宋体" w:cs="宋体"/>
          <w:color w:val="auto"/>
          <w:szCs w:val="28"/>
        </w:rPr>
        <w:tab/>
      </w:r>
      <w:r>
        <w:rPr>
          <w:rFonts w:hint="eastAsia" w:ascii="宋体" w:hAnsi="宋体" w:eastAsia="宋体" w:cs="宋体"/>
          <w:color w:val="auto"/>
          <w:szCs w:val="28"/>
        </w:rPr>
        <w:t>出库管理：</w:t>
      </w:r>
    </w:p>
    <w:p w14:paraId="4FA1112E">
      <w:pPr>
        <w:spacing w:line="360" w:lineRule="auto"/>
        <w:ind w:firstLine="560" w:firstLineChars="200"/>
        <w:jc w:val="left"/>
        <w:rPr>
          <w:rFonts w:hint="eastAsia" w:ascii="宋体" w:hAnsi="宋体" w:eastAsia="宋体" w:cs="宋体"/>
          <w:color w:val="auto"/>
          <w:szCs w:val="28"/>
        </w:rPr>
      </w:pPr>
      <w:r>
        <w:rPr>
          <w:rFonts w:hint="eastAsia" w:ascii="宋体" w:hAnsi="宋体" w:eastAsia="宋体" w:cs="宋体"/>
          <w:color w:val="auto"/>
          <w:szCs w:val="28"/>
        </w:rPr>
        <w:tab/>
      </w:r>
      <w:r>
        <w:rPr>
          <w:rFonts w:hint="eastAsia" w:ascii="宋体" w:hAnsi="宋体" w:eastAsia="宋体" w:cs="宋体"/>
          <w:color w:val="auto"/>
          <w:szCs w:val="28"/>
        </w:rPr>
        <w:t>支持按处方、领用单等办理出库，记录领用机构、领用数量、用途等信息，关联患者信息。</w:t>
      </w:r>
    </w:p>
    <w:p w14:paraId="1331FF2F">
      <w:pPr>
        <w:spacing w:line="360" w:lineRule="auto"/>
        <w:ind w:firstLine="560" w:firstLineChars="200"/>
        <w:jc w:val="left"/>
        <w:rPr>
          <w:rFonts w:hint="eastAsia" w:ascii="宋体" w:hAnsi="宋体" w:eastAsia="宋体" w:cs="宋体"/>
          <w:color w:val="auto"/>
          <w:szCs w:val="28"/>
        </w:rPr>
      </w:pPr>
      <w:r>
        <w:rPr>
          <w:rFonts w:hint="eastAsia" w:ascii="宋体" w:hAnsi="宋体" w:eastAsia="宋体" w:cs="宋体"/>
          <w:color w:val="auto"/>
          <w:szCs w:val="28"/>
        </w:rPr>
        <w:tab/>
      </w:r>
      <w:r>
        <w:rPr>
          <w:rFonts w:hint="eastAsia" w:ascii="宋体" w:hAnsi="宋体" w:eastAsia="宋体" w:cs="宋体"/>
          <w:color w:val="auto"/>
          <w:szCs w:val="28"/>
        </w:rPr>
        <w:t>出库时自动校验库存是否充足，低库存时发出预警，生成出库记录。</w:t>
      </w:r>
    </w:p>
    <w:p w14:paraId="02E574F8">
      <w:pPr>
        <w:spacing w:line="360" w:lineRule="auto"/>
        <w:ind w:firstLine="560" w:firstLineChars="200"/>
        <w:jc w:val="left"/>
        <w:rPr>
          <w:rFonts w:hint="eastAsia" w:ascii="宋体" w:hAnsi="宋体" w:eastAsia="宋体" w:cs="宋体"/>
          <w:color w:val="auto"/>
          <w:szCs w:val="28"/>
        </w:rPr>
      </w:pPr>
      <w:r>
        <w:rPr>
          <w:rFonts w:hint="eastAsia" w:ascii="宋体" w:hAnsi="宋体" w:eastAsia="宋体" w:cs="宋体"/>
          <w:color w:val="auto"/>
          <w:szCs w:val="28"/>
        </w:rPr>
        <w:tab/>
      </w:r>
      <w:r>
        <w:rPr>
          <w:rFonts w:hint="eastAsia" w:ascii="宋体" w:hAnsi="宋体" w:eastAsia="宋体" w:cs="宋体"/>
          <w:color w:val="auto"/>
          <w:szCs w:val="28"/>
        </w:rPr>
        <w:t>3.</w:t>
      </w:r>
      <w:r>
        <w:rPr>
          <w:rFonts w:hint="eastAsia" w:ascii="宋体" w:hAnsi="宋体" w:eastAsia="宋体" w:cs="宋体"/>
          <w:color w:val="auto"/>
          <w:szCs w:val="28"/>
        </w:rPr>
        <w:tab/>
      </w:r>
      <w:r>
        <w:rPr>
          <w:rFonts w:hint="eastAsia" w:ascii="宋体" w:hAnsi="宋体" w:eastAsia="宋体" w:cs="宋体"/>
          <w:color w:val="auto"/>
          <w:szCs w:val="28"/>
        </w:rPr>
        <w:t>调拨管理：</w:t>
      </w:r>
    </w:p>
    <w:p w14:paraId="45C40790">
      <w:pPr>
        <w:spacing w:line="360" w:lineRule="auto"/>
        <w:ind w:firstLine="560" w:firstLineChars="200"/>
        <w:jc w:val="left"/>
        <w:rPr>
          <w:rFonts w:hint="eastAsia" w:ascii="宋体" w:hAnsi="宋体" w:eastAsia="宋体" w:cs="宋体"/>
          <w:color w:val="auto"/>
          <w:szCs w:val="28"/>
        </w:rPr>
      </w:pPr>
      <w:r>
        <w:rPr>
          <w:rFonts w:hint="eastAsia" w:ascii="宋体" w:hAnsi="宋体" w:eastAsia="宋体" w:cs="宋体"/>
          <w:color w:val="auto"/>
          <w:szCs w:val="28"/>
        </w:rPr>
        <w:tab/>
      </w:r>
      <w:r>
        <w:rPr>
          <w:rFonts w:hint="eastAsia" w:ascii="宋体" w:hAnsi="宋体" w:eastAsia="宋体" w:cs="宋体"/>
          <w:color w:val="auto"/>
          <w:szCs w:val="28"/>
        </w:rPr>
        <w:t>支持医共体内各医疗机构间的药品耗材调拨，可发起调拨申请、审批、出库、入库全流程管理。</w:t>
      </w:r>
    </w:p>
    <w:p w14:paraId="2BEDEFE8">
      <w:pPr>
        <w:spacing w:line="360" w:lineRule="auto"/>
        <w:ind w:firstLine="560" w:firstLineChars="200"/>
        <w:jc w:val="left"/>
        <w:rPr>
          <w:rFonts w:hint="eastAsia" w:ascii="宋体" w:hAnsi="宋体" w:eastAsia="宋体" w:cs="宋体"/>
          <w:color w:val="auto"/>
          <w:szCs w:val="28"/>
        </w:rPr>
      </w:pPr>
      <w:r>
        <w:rPr>
          <w:rFonts w:hint="eastAsia" w:ascii="宋体" w:hAnsi="宋体" w:eastAsia="宋体" w:cs="宋体"/>
          <w:color w:val="auto"/>
          <w:szCs w:val="28"/>
        </w:rPr>
        <w:tab/>
      </w:r>
      <w:r>
        <w:rPr>
          <w:rFonts w:hint="eastAsia" w:ascii="宋体" w:hAnsi="宋体" w:eastAsia="宋体" w:cs="宋体"/>
          <w:color w:val="auto"/>
          <w:szCs w:val="28"/>
        </w:rPr>
        <w:t>自动更新调出方与调入方的库存数据，记录调拨明细。</w:t>
      </w:r>
    </w:p>
    <w:p w14:paraId="58195406">
      <w:pPr>
        <w:spacing w:line="360" w:lineRule="auto"/>
        <w:ind w:firstLine="560" w:firstLineChars="200"/>
        <w:jc w:val="left"/>
        <w:rPr>
          <w:rFonts w:hint="eastAsia" w:ascii="宋体" w:hAnsi="宋体" w:eastAsia="宋体" w:cs="宋体"/>
          <w:color w:val="auto"/>
          <w:szCs w:val="28"/>
        </w:rPr>
      </w:pPr>
      <w:r>
        <w:rPr>
          <w:rFonts w:hint="eastAsia" w:ascii="宋体" w:hAnsi="宋体" w:eastAsia="宋体" w:cs="宋体"/>
          <w:color w:val="auto"/>
          <w:szCs w:val="28"/>
        </w:rPr>
        <w:tab/>
      </w:r>
      <w:r>
        <w:rPr>
          <w:rFonts w:hint="eastAsia" w:ascii="宋体" w:hAnsi="宋体" w:eastAsia="宋体" w:cs="宋体"/>
          <w:color w:val="auto"/>
          <w:szCs w:val="28"/>
        </w:rPr>
        <w:t>4.</w:t>
      </w:r>
      <w:r>
        <w:rPr>
          <w:rFonts w:hint="eastAsia" w:ascii="宋体" w:hAnsi="宋体" w:eastAsia="宋体" w:cs="宋体"/>
          <w:color w:val="auto"/>
          <w:szCs w:val="28"/>
        </w:rPr>
        <w:tab/>
      </w:r>
      <w:r>
        <w:rPr>
          <w:rFonts w:hint="eastAsia" w:ascii="宋体" w:hAnsi="宋体" w:eastAsia="宋体" w:cs="宋体"/>
          <w:color w:val="auto"/>
          <w:szCs w:val="28"/>
        </w:rPr>
        <w:t>库存盘点：</w:t>
      </w:r>
    </w:p>
    <w:p w14:paraId="250A45A1">
      <w:pPr>
        <w:spacing w:line="360" w:lineRule="auto"/>
        <w:ind w:firstLine="560" w:firstLineChars="200"/>
        <w:jc w:val="left"/>
        <w:rPr>
          <w:rFonts w:hint="eastAsia" w:ascii="宋体" w:hAnsi="宋体" w:eastAsia="宋体" w:cs="宋体"/>
          <w:color w:val="auto"/>
          <w:szCs w:val="28"/>
        </w:rPr>
      </w:pPr>
      <w:r>
        <w:rPr>
          <w:rFonts w:hint="eastAsia" w:ascii="宋体" w:hAnsi="宋体" w:eastAsia="宋体" w:cs="宋体"/>
          <w:color w:val="auto"/>
          <w:szCs w:val="28"/>
        </w:rPr>
        <w:tab/>
      </w:r>
      <w:r>
        <w:rPr>
          <w:rFonts w:hint="eastAsia" w:ascii="宋体" w:hAnsi="宋体" w:eastAsia="宋体" w:cs="宋体"/>
          <w:color w:val="auto"/>
          <w:szCs w:val="28"/>
        </w:rPr>
        <w:t>药品库存占比分析统计：能按药品类别、剂型、规格等对库存药品进行占比分析，统计各类药品库存占总库存的比例。</w:t>
      </w:r>
    </w:p>
    <w:p w14:paraId="0F282B11">
      <w:pPr>
        <w:spacing w:line="360" w:lineRule="auto"/>
        <w:ind w:firstLine="560" w:firstLineChars="200"/>
        <w:jc w:val="left"/>
        <w:rPr>
          <w:rFonts w:hint="eastAsia" w:ascii="宋体" w:hAnsi="宋体" w:eastAsia="宋体" w:cs="宋体"/>
          <w:color w:val="auto"/>
          <w:szCs w:val="28"/>
        </w:rPr>
      </w:pPr>
      <w:bookmarkStart w:id="8" w:name="OLE_LINK127"/>
      <w:r>
        <w:rPr>
          <w:rFonts w:hint="eastAsia" w:ascii="宋体" w:hAnsi="宋体" w:eastAsia="宋体" w:cs="宋体"/>
          <w:color w:val="auto"/>
          <w:szCs w:val="28"/>
        </w:rPr>
        <w:t>药品</w:t>
      </w:r>
      <w:bookmarkEnd w:id="8"/>
      <w:r>
        <w:rPr>
          <w:rFonts w:hint="eastAsia" w:ascii="宋体" w:hAnsi="宋体" w:eastAsia="宋体" w:cs="宋体"/>
          <w:color w:val="auto"/>
          <w:szCs w:val="28"/>
        </w:rPr>
        <w:t>库存明细</w:t>
      </w:r>
      <w:bookmarkStart w:id="9" w:name="OLE_LINK128"/>
      <w:r>
        <w:rPr>
          <w:rFonts w:hint="eastAsia" w:ascii="宋体" w:hAnsi="宋体" w:eastAsia="宋体" w:cs="宋体"/>
          <w:color w:val="auto"/>
          <w:szCs w:val="28"/>
        </w:rPr>
        <w:t>查询</w:t>
      </w:r>
      <w:bookmarkEnd w:id="9"/>
      <w:r>
        <w:rPr>
          <w:rFonts w:hint="eastAsia" w:ascii="宋体" w:hAnsi="宋体" w:eastAsia="宋体" w:cs="宋体"/>
          <w:color w:val="auto"/>
          <w:szCs w:val="28"/>
        </w:rPr>
        <w:t>：支持通过药品名称、规格、生产厂家、批号、有效期等关键字查询库存明细信息，包括库存数量、入库时间、出库记录等。</w:t>
      </w:r>
    </w:p>
    <w:p w14:paraId="1D6E4F7A">
      <w:pPr>
        <w:spacing w:line="360" w:lineRule="auto"/>
        <w:ind w:firstLine="560" w:firstLineChars="200"/>
        <w:jc w:val="left"/>
        <w:rPr>
          <w:rFonts w:hint="eastAsia" w:ascii="宋体" w:hAnsi="宋体" w:eastAsia="宋体" w:cs="宋体"/>
          <w:color w:val="auto"/>
          <w:szCs w:val="28"/>
        </w:rPr>
      </w:pPr>
      <w:r>
        <w:rPr>
          <w:rFonts w:hint="eastAsia" w:ascii="宋体" w:hAnsi="宋体" w:eastAsia="宋体" w:cs="宋体"/>
          <w:color w:val="auto"/>
          <w:szCs w:val="28"/>
        </w:rPr>
        <w:tab/>
      </w:r>
      <w:r>
        <w:rPr>
          <w:rFonts w:hint="eastAsia" w:ascii="宋体" w:hAnsi="宋体" w:eastAsia="宋体" w:cs="宋体"/>
          <w:color w:val="auto"/>
          <w:szCs w:val="28"/>
        </w:rPr>
        <w:t>支持盘点差异的审批与调整，确保账实相符。</w:t>
      </w:r>
    </w:p>
    <w:p w14:paraId="647AC911">
      <w:pPr>
        <w:spacing w:line="360" w:lineRule="auto"/>
        <w:ind w:firstLine="560" w:firstLineChars="200"/>
        <w:jc w:val="left"/>
        <w:rPr>
          <w:rFonts w:hint="eastAsia" w:ascii="宋体" w:hAnsi="宋体" w:eastAsia="宋体" w:cs="宋体"/>
          <w:color w:val="auto"/>
          <w:szCs w:val="28"/>
        </w:rPr>
      </w:pPr>
      <w:r>
        <w:rPr>
          <w:rFonts w:hint="eastAsia" w:ascii="宋体" w:hAnsi="宋体" w:eastAsia="宋体" w:cs="宋体"/>
          <w:color w:val="auto"/>
          <w:szCs w:val="28"/>
        </w:rPr>
        <w:tab/>
      </w:r>
      <w:r>
        <w:rPr>
          <w:rFonts w:hint="eastAsia" w:ascii="宋体" w:hAnsi="宋体" w:eastAsia="宋体" w:cs="宋体"/>
          <w:b/>
          <w:bCs/>
          <w:color w:val="auto"/>
          <w:szCs w:val="28"/>
        </w:rPr>
        <w:t>价格管理：</w:t>
      </w:r>
    </w:p>
    <w:p w14:paraId="2B5BC95C">
      <w:pPr>
        <w:spacing w:line="360" w:lineRule="auto"/>
        <w:ind w:firstLine="560" w:firstLineChars="200"/>
        <w:jc w:val="left"/>
        <w:rPr>
          <w:rFonts w:hint="eastAsia" w:ascii="宋体" w:hAnsi="宋体" w:eastAsia="宋体" w:cs="宋体"/>
          <w:color w:val="auto"/>
          <w:szCs w:val="28"/>
        </w:rPr>
      </w:pPr>
      <w:r>
        <w:rPr>
          <w:rFonts w:hint="eastAsia" w:ascii="宋体" w:hAnsi="宋体" w:eastAsia="宋体" w:cs="宋体"/>
          <w:color w:val="auto"/>
          <w:szCs w:val="28"/>
        </w:rPr>
        <w:tab/>
      </w:r>
      <w:r>
        <w:rPr>
          <w:rFonts w:hint="eastAsia" w:ascii="宋体" w:hAnsi="宋体" w:eastAsia="宋体" w:cs="宋体"/>
          <w:color w:val="auto"/>
          <w:szCs w:val="28"/>
        </w:rPr>
        <w:t>支持药品耗材的采购价、销售价管理，可批量调整价格，记录价格变动历史。</w:t>
      </w:r>
    </w:p>
    <w:p w14:paraId="39BDC9A5">
      <w:pPr>
        <w:spacing w:line="360" w:lineRule="auto"/>
        <w:ind w:firstLine="560" w:firstLineChars="200"/>
        <w:jc w:val="left"/>
        <w:rPr>
          <w:rFonts w:hint="eastAsia" w:ascii="宋体" w:hAnsi="宋体" w:eastAsia="宋体" w:cs="宋体"/>
          <w:color w:val="auto"/>
          <w:szCs w:val="28"/>
        </w:rPr>
      </w:pPr>
      <w:r>
        <w:rPr>
          <w:rFonts w:hint="eastAsia" w:ascii="宋体" w:hAnsi="宋体" w:eastAsia="宋体" w:cs="宋体"/>
          <w:color w:val="auto"/>
          <w:szCs w:val="28"/>
        </w:rPr>
        <w:tab/>
      </w:r>
      <w:r>
        <w:rPr>
          <w:rFonts w:hint="eastAsia" w:ascii="宋体" w:hAnsi="宋体" w:eastAsia="宋体" w:cs="宋体"/>
          <w:color w:val="auto"/>
          <w:szCs w:val="28"/>
        </w:rPr>
        <w:t>价格变动时可向相关医疗机构发出提醒。</w:t>
      </w:r>
    </w:p>
    <w:p w14:paraId="1A99D100">
      <w:pPr>
        <w:pStyle w:val="3"/>
        <w:numPr>
          <w:ilvl w:val="0"/>
          <w:numId w:val="0"/>
        </w:numPr>
        <w:ind w:left="560" w:leftChars="200"/>
        <w:rPr>
          <w:color w:val="auto"/>
        </w:rPr>
      </w:pPr>
      <w:bookmarkStart w:id="10" w:name="OLE_LINK2"/>
      <w:r>
        <w:rPr>
          <w:rFonts w:hint="eastAsia"/>
          <w:color w:val="auto"/>
        </w:rPr>
        <w:t>四、智慧急救中心</w:t>
      </w:r>
    </w:p>
    <w:p w14:paraId="0C0E15DA">
      <w:pPr>
        <w:pStyle w:val="4"/>
        <w:ind w:firstLineChars="0"/>
        <w:rPr>
          <w:color w:val="auto"/>
        </w:rPr>
      </w:pPr>
      <w:r>
        <w:rPr>
          <w:rFonts w:hint="eastAsia"/>
          <w:color w:val="auto"/>
        </w:rPr>
        <w:t>（一）总体要求：</w:t>
      </w:r>
    </w:p>
    <w:p w14:paraId="3FA9EA9D">
      <w:pPr>
        <w:spacing w:line="360" w:lineRule="auto"/>
        <w:ind w:firstLine="560" w:firstLineChars="200"/>
        <w:jc w:val="left"/>
        <w:rPr>
          <w:rFonts w:hint="eastAsia" w:ascii="宋体" w:hAnsi="宋体" w:eastAsia="宋体" w:cs="宋体"/>
          <w:color w:val="auto"/>
          <w:szCs w:val="28"/>
        </w:rPr>
      </w:pPr>
      <w:r>
        <w:rPr>
          <w:rFonts w:hint="eastAsia" w:ascii="宋体" w:hAnsi="宋体" w:eastAsia="宋体" w:cs="宋体"/>
          <w:color w:val="auto"/>
          <w:szCs w:val="28"/>
        </w:rPr>
        <w:t>1.系统需符合国家院前急救相关标准规范，具备稳定、安全、高效的运行性能，支持急救全流程数字化管理。</w:t>
      </w:r>
    </w:p>
    <w:p w14:paraId="0B723BA1">
      <w:pPr>
        <w:spacing w:line="360" w:lineRule="auto"/>
        <w:ind w:firstLine="560" w:firstLineChars="200"/>
        <w:jc w:val="left"/>
        <w:rPr>
          <w:rFonts w:hint="eastAsia" w:ascii="宋体" w:hAnsi="宋体" w:eastAsia="宋体" w:cs="宋体"/>
          <w:color w:val="auto"/>
          <w:szCs w:val="28"/>
        </w:rPr>
      </w:pPr>
      <w:r>
        <w:rPr>
          <w:rFonts w:hint="eastAsia" w:ascii="宋体" w:hAnsi="宋体" w:eastAsia="宋体" w:cs="宋体"/>
          <w:color w:val="auto"/>
          <w:szCs w:val="28"/>
        </w:rPr>
        <w:t>2.采用分布式架构设计，具备良好的可扩展性和兼容性，可与医院信息系统（HIS）、电子健康档案系统等实现数据对接与共享。</w:t>
      </w:r>
    </w:p>
    <w:p w14:paraId="6C75B3F8">
      <w:pPr>
        <w:spacing w:line="360" w:lineRule="auto"/>
        <w:ind w:firstLine="560" w:firstLineChars="200"/>
        <w:jc w:val="left"/>
        <w:rPr>
          <w:rFonts w:hint="eastAsia" w:ascii="宋体" w:hAnsi="宋体" w:eastAsia="宋体" w:cs="宋体"/>
          <w:color w:val="auto"/>
          <w:szCs w:val="28"/>
        </w:rPr>
      </w:pPr>
      <w:r>
        <w:rPr>
          <w:rFonts w:hint="eastAsia" w:ascii="宋体" w:hAnsi="宋体" w:eastAsia="宋体" w:cs="宋体"/>
          <w:color w:val="auto"/>
          <w:szCs w:val="28"/>
        </w:rPr>
        <w:t>3.</w:t>
      </w:r>
      <w:bookmarkStart w:id="11" w:name="OLE_LINK129"/>
      <w:r>
        <w:rPr>
          <w:rFonts w:hint="eastAsia" w:ascii="宋体" w:hAnsi="宋体" w:eastAsia="宋体" w:cs="宋体"/>
          <w:color w:val="auto"/>
          <w:szCs w:val="28"/>
        </w:rPr>
        <w:t>支持多终端访问，包括急救中心PC端、急救车车载终端、医务人员移动端等，确保信息实时同步。</w:t>
      </w:r>
      <w:bookmarkEnd w:id="11"/>
    </w:p>
    <w:p w14:paraId="42FC9107">
      <w:pPr>
        <w:spacing w:line="360" w:lineRule="auto"/>
        <w:ind w:firstLine="560" w:firstLineChars="200"/>
        <w:jc w:val="left"/>
        <w:rPr>
          <w:rFonts w:hint="eastAsia" w:ascii="宋体" w:hAnsi="宋体" w:eastAsia="宋体" w:cs="宋体"/>
          <w:color w:val="auto"/>
          <w:szCs w:val="28"/>
        </w:rPr>
      </w:pPr>
      <w:r>
        <w:rPr>
          <w:rFonts w:hint="eastAsia" w:ascii="宋体" w:hAnsi="宋体" w:eastAsia="宋体" w:cs="宋体"/>
          <w:color w:val="auto"/>
          <w:szCs w:val="28"/>
        </w:rPr>
        <w:t xml:space="preserve">4.支持高清音视频远程会诊和指导，医院专家可通过急救终端、PC端、移动端多种方式接入，并对急救过程进行指导。 </w:t>
      </w:r>
    </w:p>
    <w:p w14:paraId="6E9F6823">
      <w:pPr>
        <w:spacing w:line="360" w:lineRule="auto"/>
        <w:ind w:firstLine="560" w:firstLineChars="200"/>
        <w:jc w:val="left"/>
        <w:rPr>
          <w:rFonts w:hint="eastAsia" w:ascii="宋体" w:hAnsi="宋体" w:eastAsia="宋体" w:cs="宋体"/>
          <w:color w:val="auto"/>
          <w:szCs w:val="28"/>
        </w:rPr>
      </w:pPr>
      <w:r>
        <w:rPr>
          <w:rFonts w:hint="eastAsia" w:ascii="宋体" w:hAnsi="宋体" w:eastAsia="宋体" w:cs="宋体"/>
          <w:color w:val="auto"/>
          <w:szCs w:val="28"/>
        </w:rPr>
        <w:t>5. 服务器部署可支持国产化操作系统和芯片、数据库和中间件。</w:t>
      </w:r>
    </w:p>
    <w:p w14:paraId="059A58E1">
      <w:pPr>
        <w:pStyle w:val="4"/>
        <w:ind w:firstLineChars="0"/>
        <w:rPr>
          <w:color w:val="auto"/>
        </w:rPr>
      </w:pPr>
      <w:r>
        <w:rPr>
          <w:rFonts w:hint="eastAsia"/>
          <w:color w:val="auto"/>
        </w:rPr>
        <w:t>（二）系统需提供以下功能：</w:t>
      </w:r>
    </w:p>
    <w:p w14:paraId="1267DDBE">
      <w:pPr>
        <w:pStyle w:val="19"/>
        <w:spacing w:line="360" w:lineRule="auto"/>
        <w:ind w:firstLine="562"/>
        <w:rPr>
          <w:rFonts w:hint="eastAsia" w:ascii="宋体" w:hAnsi="宋体" w:eastAsia="宋体" w:cs="宋体"/>
          <w:color w:val="auto"/>
          <w:szCs w:val="28"/>
        </w:rPr>
      </w:pPr>
      <w:r>
        <w:rPr>
          <w:rFonts w:hint="eastAsia" w:ascii="宋体" w:hAnsi="宋体" w:eastAsia="宋体" w:cs="宋体"/>
          <w:b/>
          <w:bCs/>
          <w:color w:val="auto"/>
          <w:szCs w:val="28"/>
        </w:rPr>
        <w:t>系统管理：</w:t>
      </w:r>
    </w:p>
    <w:p w14:paraId="3E098AF2">
      <w:pPr>
        <w:spacing w:line="360" w:lineRule="auto"/>
        <w:ind w:firstLine="560" w:firstLineChars="200"/>
        <w:jc w:val="left"/>
        <w:rPr>
          <w:rFonts w:hint="eastAsia" w:ascii="宋体" w:hAnsi="宋体" w:eastAsia="宋体" w:cs="宋体"/>
          <w:color w:val="auto"/>
          <w:szCs w:val="28"/>
        </w:rPr>
      </w:pPr>
      <w:r>
        <w:rPr>
          <w:rFonts w:hint="eastAsia" w:ascii="宋体" w:hAnsi="宋体" w:eastAsia="宋体" w:cs="宋体"/>
          <w:color w:val="auto"/>
          <w:szCs w:val="28"/>
        </w:rPr>
        <w:t>1.基础信息管理：支持医院管理：包括医院名称、地址、联系方式、科室设置等信息的新增、修改、删除及查询。支持科室管理：可对急救相关科室（如急诊科、心内科等）进行信息维护，关联对应医务人员。支持用户管理：实现急救中心及相关医院用户的账号创建、信息维护、状态管理（启用/禁用）。</w:t>
      </w:r>
    </w:p>
    <w:p w14:paraId="231F66E1">
      <w:pPr>
        <w:spacing w:line="360" w:lineRule="auto"/>
        <w:ind w:firstLine="560" w:firstLineChars="200"/>
        <w:jc w:val="left"/>
        <w:rPr>
          <w:rFonts w:hint="eastAsia" w:ascii="宋体" w:hAnsi="宋体" w:eastAsia="宋体" w:cs="宋体"/>
          <w:color w:val="auto"/>
          <w:szCs w:val="28"/>
        </w:rPr>
      </w:pPr>
      <w:r>
        <w:rPr>
          <w:rFonts w:hint="eastAsia" w:ascii="宋体" w:hAnsi="宋体" w:eastAsia="宋体" w:cs="宋体"/>
          <w:color w:val="auto"/>
          <w:szCs w:val="28"/>
        </w:rPr>
        <w:t>2.权限管理：支持角色和权限管理：可自定义角色（如管理员、调度员、急救医生等），并为不同角色分配差异化操作权限，权限粒度精确到功能模块。</w:t>
      </w:r>
    </w:p>
    <w:p w14:paraId="4A0DEC09">
      <w:pPr>
        <w:spacing w:line="360" w:lineRule="auto"/>
        <w:ind w:firstLine="560" w:firstLineChars="200"/>
        <w:jc w:val="left"/>
        <w:rPr>
          <w:rFonts w:hint="eastAsia" w:ascii="宋体" w:hAnsi="宋体" w:eastAsia="宋体" w:cs="宋体"/>
          <w:color w:val="auto"/>
          <w:szCs w:val="28"/>
        </w:rPr>
      </w:pPr>
      <w:r>
        <w:rPr>
          <w:rFonts w:hint="eastAsia" w:ascii="宋体" w:hAnsi="宋体" w:eastAsia="宋体" w:cs="宋体"/>
          <w:color w:val="auto"/>
          <w:szCs w:val="28"/>
        </w:rPr>
        <w:t>3.资源管理：支持急救车管理：记录急救车编号、型号、配备设备、维护记录等信息，关联对应司机和医务人员。支持人员管理：包括司机、随车医务人员的基本信息、资质证书、排班情况等管理。</w:t>
      </w:r>
    </w:p>
    <w:p w14:paraId="006695DC">
      <w:pPr>
        <w:spacing w:line="360" w:lineRule="auto"/>
        <w:ind w:firstLine="560" w:firstLineChars="200"/>
        <w:jc w:val="left"/>
        <w:rPr>
          <w:rFonts w:hint="eastAsia" w:ascii="宋体" w:hAnsi="宋体" w:eastAsia="宋体" w:cs="宋体"/>
          <w:color w:val="auto"/>
          <w:szCs w:val="28"/>
        </w:rPr>
      </w:pPr>
      <w:r>
        <w:rPr>
          <w:rFonts w:hint="eastAsia" w:ascii="宋体" w:hAnsi="宋体" w:eastAsia="宋体" w:cs="宋体"/>
          <w:color w:val="auto"/>
          <w:szCs w:val="28"/>
        </w:rPr>
        <w:t xml:space="preserve">4. 配置管理支持数据字典配置， 诊断模板配置， 短信网关配置等。 </w:t>
      </w:r>
    </w:p>
    <w:p w14:paraId="03EF806E">
      <w:pPr>
        <w:spacing w:line="360" w:lineRule="auto"/>
        <w:ind w:firstLine="560" w:firstLineChars="200"/>
        <w:jc w:val="left"/>
        <w:rPr>
          <w:rFonts w:hint="eastAsia" w:ascii="宋体" w:hAnsi="宋体" w:eastAsia="宋体" w:cs="宋体"/>
          <w:color w:val="auto"/>
          <w:szCs w:val="28"/>
        </w:rPr>
      </w:pPr>
      <w:r>
        <w:rPr>
          <w:rFonts w:hint="eastAsia" w:ascii="宋体" w:hAnsi="宋体" w:eastAsia="宋体" w:cs="宋体"/>
          <w:color w:val="auto"/>
          <w:szCs w:val="28"/>
        </w:rPr>
        <w:t>5. 统计分析，支持按照车辆、时间、随车人员进行统计分析，统计出车人员工作量、患者数量、重点急救病种数量。</w:t>
      </w:r>
    </w:p>
    <w:p w14:paraId="2739EF20">
      <w:pPr>
        <w:pStyle w:val="19"/>
        <w:spacing w:line="360" w:lineRule="auto"/>
        <w:ind w:firstLine="562"/>
        <w:rPr>
          <w:rFonts w:hint="eastAsia" w:ascii="宋体" w:hAnsi="宋体" w:eastAsia="宋体" w:cs="宋体"/>
          <w:b/>
          <w:bCs/>
          <w:color w:val="auto"/>
          <w:szCs w:val="28"/>
        </w:rPr>
      </w:pPr>
      <w:r>
        <w:rPr>
          <w:rFonts w:hint="eastAsia" w:ascii="宋体" w:hAnsi="宋体" w:eastAsia="宋体" w:cs="宋体"/>
          <w:b/>
          <w:bCs/>
          <w:color w:val="auto"/>
          <w:szCs w:val="28"/>
        </w:rPr>
        <w:t>任务管理：</w:t>
      </w:r>
    </w:p>
    <w:p w14:paraId="2D1CF7EC">
      <w:pPr>
        <w:pStyle w:val="19"/>
        <w:spacing w:line="360" w:lineRule="auto"/>
        <w:ind w:firstLine="560"/>
        <w:rPr>
          <w:rFonts w:hint="eastAsia" w:ascii="宋体" w:hAnsi="宋体" w:eastAsia="宋体" w:cs="宋体"/>
          <w:color w:val="auto"/>
          <w:szCs w:val="28"/>
        </w:rPr>
      </w:pPr>
      <w:r>
        <w:rPr>
          <w:rFonts w:hint="eastAsia" w:ascii="宋体" w:hAnsi="宋体" w:eastAsia="宋体" w:cs="宋体"/>
          <w:color w:val="auto"/>
          <w:szCs w:val="28"/>
        </w:rPr>
        <w:t>1.任务处理：</w:t>
      </w:r>
    </w:p>
    <w:p w14:paraId="36FC1B87">
      <w:pPr>
        <w:pStyle w:val="19"/>
        <w:spacing w:line="360" w:lineRule="auto"/>
        <w:ind w:firstLine="560"/>
        <w:rPr>
          <w:rFonts w:hint="eastAsia" w:ascii="宋体" w:hAnsi="宋体" w:eastAsia="宋体" w:cs="宋体"/>
          <w:color w:val="auto"/>
          <w:szCs w:val="28"/>
        </w:rPr>
      </w:pPr>
      <w:r>
        <w:rPr>
          <w:rFonts w:hint="eastAsia" w:ascii="宋体" w:hAnsi="宋体" w:eastAsia="宋体" w:cs="宋体"/>
          <w:color w:val="auto"/>
          <w:szCs w:val="28"/>
        </w:rPr>
        <w:t>支持急救任务的录入、编辑、查询及归档，可将任务指定给具体急救车及随车人员。</w:t>
      </w:r>
    </w:p>
    <w:p w14:paraId="0853191B">
      <w:pPr>
        <w:pStyle w:val="19"/>
        <w:spacing w:line="360" w:lineRule="auto"/>
        <w:ind w:firstLine="560"/>
        <w:rPr>
          <w:rFonts w:hint="eastAsia" w:ascii="宋体" w:hAnsi="宋体" w:eastAsia="宋体" w:cs="宋体"/>
          <w:color w:val="auto"/>
          <w:szCs w:val="28"/>
        </w:rPr>
      </w:pPr>
      <w:r>
        <w:rPr>
          <w:rFonts w:hint="eastAsia" w:ascii="宋体" w:hAnsi="宋体" w:eastAsia="宋体" w:cs="宋体"/>
          <w:color w:val="auto"/>
          <w:szCs w:val="28"/>
        </w:rPr>
        <w:t>2.任务通知：</w:t>
      </w:r>
    </w:p>
    <w:p w14:paraId="530A0EEA">
      <w:pPr>
        <w:pStyle w:val="19"/>
        <w:spacing w:line="360" w:lineRule="auto"/>
        <w:ind w:firstLine="560"/>
        <w:rPr>
          <w:rFonts w:hint="eastAsia" w:ascii="宋体" w:hAnsi="宋体" w:eastAsia="宋体" w:cs="宋体"/>
          <w:color w:val="auto"/>
          <w:szCs w:val="28"/>
        </w:rPr>
      </w:pPr>
      <w:r>
        <w:rPr>
          <w:rFonts w:hint="eastAsia" w:ascii="宋体" w:hAnsi="宋体" w:eastAsia="宋体" w:cs="宋体"/>
          <w:color w:val="auto"/>
          <w:szCs w:val="28"/>
        </w:rPr>
        <w:t>任务安排后，自动向相关人员发送出车短信，包含患者详细地址、联系人及电话、主要症状、紧急程度等信息；同时在随车Pad任务单中同步显示完整任务信息。</w:t>
      </w:r>
    </w:p>
    <w:p w14:paraId="06C4A0B4">
      <w:pPr>
        <w:pStyle w:val="19"/>
        <w:spacing w:line="360" w:lineRule="auto"/>
        <w:ind w:firstLine="560"/>
        <w:rPr>
          <w:rFonts w:hint="eastAsia" w:ascii="宋体" w:hAnsi="宋体" w:eastAsia="宋体" w:cs="宋体"/>
          <w:color w:val="auto"/>
          <w:szCs w:val="28"/>
        </w:rPr>
      </w:pPr>
      <w:r>
        <w:rPr>
          <w:rFonts w:hint="eastAsia" w:ascii="宋体" w:hAnsi="宋体" w:eastAsia="宋体" w:cs="宋体"/>
          <w:color w:val="auto"/>
          <w:szCs w:val="28"/>
        </w:rPr>
        <w:t>3.患者信息采集：</w:t>
      </w:r>
    </w:p>
    <w:p w14:paraId="6274CBE1">
      <w:pPr>
        <w:pStyle w:val="19"/>
        <w:spacing w:line="360" w:lineRule="auto"/>
        <w:ind w:firstLine="560"/>
        <w:rPr>
          <w:rFonts w:hint="eastAsia" w:ascii="宋体" w:hAnsi="宋体" w:eastAsia="宋体" w:cs="宋体"/>
          <w:color w:val="auto"/>
          <w:szCs w:val="28"/>
        </w:rPr>
      </w:pPr>
      <w:r>
        <w:rPr>
          <w:rFonts w:hint="eastAsia" w:ascii="宋体" w:hAnsi="宋体" w:eastAsia="宋体" w:cs="宋体"/>
          <w:color w:val="auto"/>
          <w:szCs w:val="28"/>
        </w:rPr>
        <w:t>患者上车后，随车人员可通过Pad录入患者详细信息（姓名、年龄、病史等）及生命体征仪数据（心率、血压、血氧等），提交后急救中心可实时查看。 并可以拍照上传现场图片和视频，便于急救中心全面了解现场情况。</w:t>
      </w:r>
    </w:p>
    <w:p w14:paraId="0F93C114">
      <w:pPr>
        <w:pStyle w:val="19"/>
        <w:numPr>
          <w:ilvl w:val="0"/>
          <w:numId w:val="2"/>
        </w:numPr>
        <w:spacing w:line="360" w:lineRule="auto"/>
        <w:ind w:firstLine="560"/>
        <w:rPr>
          <w:rFonts w:hint="eastAsia" w:ascii="宋体" w:hAnsi="宋体" w:eastAsia="宋体" w:cs="宋体"/>
          <w:color w:val="auto"/>
          <w:szCs w:val="28"/>
        </w:rPr>
      </w:pPr>
      <w:r>
        <w:rPr>
          <w:rFonts w:hint="eastAsia" w:ascii="宋体" w:hAnsi="宋体" w:eastAsia="宋体" w:cs="宋体"/>
          <w:color w:val="auto"/>
          <w:szCs w:val="28"/>
        </w:rPr>
        <w:t>支持任务状态更新，包括出发、到达、返程、完成。便于急救中心随时了解任务执行情况。</w:t>
      </w:r>
    </w:p>
    <w:p w14:paraId="616808D2">
      <w:pPr>
        <w:pStyle w:val="19"/>
        <w:spacing w:line="360" w:lineRule="auto"/>
        <w:ind w:left="560" w:leftChars="200" w:firstLine="0" w:firstLineChars="0"/>
        <w:rPr>
          <w:rFonts w:hint="eastAsia" w:ascii="宋体" w:hAnsi="宋体" w:eastAsia="宋体" w:cs="宋体"/>
          <w:b/>
          <w:bCs/>
          <w:color w:val="auto"/>
          <w:szCs w:val="28"/>
        </w:rPr>
      </w:pPr>
      <w:r>
        <w:rPr>
          <w:rFonts w:hint="eastAsia" w:ascii="宋体" w:hAnsi="宋体" w:eastAsia="宋体" w:cs="宋体"/>
          <w:b/>
          <w:bCs/>
          <w:color w:val="auto"/>
          <w:szCs w:val="28"/>
        </w:rPr>
        <w:t>车辆跟踪定位：</w:t>
      </w:r>
    </w:p>
    <w:p w14:paraId="502C0157">
      <w:pPr>
        <w:pStyle w:val="19"/>
        <w:spacing w:line="360" w:lineRule="auto"/>
        <w:ind w:firstLine="560"/>
        <w:rPr>
          <w:rFonts w:hint="eastAsia" w:ascii="宋体" w:hAnsi="宋体" w:eastAsia="宋体" w:cs="宋体"/>
          <w:color w:val="auto"/>
          <w:szCs w:val="28"/>
        </w:rPr>
      </w:pPr>
      <w:r>
        <w:rPr>
          <w:rFonts w:hint="eastAsia" w:ascii="宋体" w:hAnsi="宋体" w:eastAsia="宋体" w:cs="宋体"/>
          <w:color w:val="auto"/>
          <w:szCs w:val="28"/>
        </w:rPr>
        <w:t>1.实时定位：支持救护车北斗联动，可实时掌握救护车位置信息，通过实时传输、定位，方便急救中心指挥调度，为患者提供畅通无阻的生命通道。</w:t>
      </w:r>
    </w:p>
    <w:p w14:paraId="34F561C9">
      <w:pPr>
        <w:pStyle w:val="19"/>
        <w:spacing w:line="360" w:lineRule="auto"/>
        <w:ind w:firstLine="560"/>
        <w:rPr>
          <w:rFonts w:hint="eastAsia" w:ascii="宋体" w:hAnsi="宋体" w:eastAsia="宋体" w:cs="宋体"/>
          <w:color w:val="auto"/>
          <w:szCs w:val="28"/>
        </w:rPr>
      </w:pPr>
      <w:r>
        <w:rPr>
          <w:rFonts w:hint="eastAsia" w:ascii="宋体" w:hAnsi="宋体" w:eastAsia="宋体" w:cs="宋体"/>
          <w:color w:val="auto"/>
          <w:szCs w:val="28"/>
        </w:rPr>
        <w:t>2. 提供地图总览展示所有执行任务车辆的状态和地图位置，并可点击查看执行任务详情。</w:t>
      </w:r>
    </w:p>
    <w:p w14:paraId="3AE38EDF">
      <w:pPr>
        <w:pStyle w:val="19"/>
        <w:spacing w:line="360" w:lineRule="auto"/>
        <w:ind w:firstLine="560"/>
        <w:rPr>
          <w:rFonts w:hint="eastAsia" w:ascii="宋体" w:hAnsi="宋体" w:eastAsia="宋体" w:cs="宋体"/>
          <w:color w:val="auto"/>
          <w:szCs w:val="28"/>
        </w:rPr>
      </w:pPr>
      <w:r>
        <w:rPr>
          <w:rFonts w:hint="eastAsia" w:ascii="宋体" w:hAnsi="宋体" w:eastAsia="宋体" w:cs="宋体"/>
          <w:color w:val="auto"/>
          <w:szCs w:val="28"/>
        </w:rPr>
        <w:t>3.路线规划：急救车出发和返程时，根据出发点到目的地自动生成最优路线图，计算预计行程时间，供急救中心预判患者到院时间，辅助医院提前做好接诊准备。</w:t>
      </w:r>
    </w:p>
    <w:p w14:paraId="0E1D00E0">
      <w:pPr>
        <w:pStyle w:val="19"/>
        <w:spacing w:line="360" w:lineRule="auto"/>
        <w:ind w:firstLine="562"/>
        <w:rPr>
          <w:rFonts w:hint="eastAsia" w:ascii="宋体" w:hAnsi="宋体" w:eastAsia="宋体" w:cs="宋体"/>
          <w:color w:val="auto"/>
          <w:szCs w:val="28"/>
        </w:rPr>
      </w:pPr>
      <w:r>
        <w:rPr>
          <w:rFonts w:hint="eastAsia" w:ascii="宋体" w:hAnsi="宋体" w:eastAsia="宋体" w:cs="宋体"/>
          <w:b/>
          <w:bCs/>
          <w:color w:val="auto"/>
          <w:szCs w:val="28"/>
        </w:rPr>
        <w:t>患者信息管理：</w:t>
      </w:r>
    </w:p>
    <w:p w14:paraId="4B6B39A5">
      <w:pPr>
        <w:pStyle w:val="19"/>
        <w:spacing w:line="360" w:lineRule="auto"/>
        <w:ind w:firstLine="560"/>
        <w:rPr>
          <w:rFonts w:hint="eastAsia" w:ascii="宋体" w:hAnsi="宋体" w:eastAsia="宋体" w:cs="宋体"/>
          <w:color w:val="auto"/>
          <w:szCs w:val="28"/>
        </w:rPr>
      </w:pPr>
      <w:r>
        <w:rPr>
          <w:rFonts w:hint="eastAsia" w:ascii="宋体" w:hAnsi="宋体" w:eastAsia="宋体" w:cs="宋体"/>
          <w:color w:val="auto"/>
          <w:szCs w:val="28"/>
        </w:rPr>
        <w:tab/>
      </w:r>
      <w:r>
        <w:rPr>
          <w:rFonts w:hint="eastAsia" w:ascii="宋体" w:hAnsi="宋体" w:eastAsia="宋体" w:cs="宋体"/>
          <w:color w:val="auto"/>
          <w:szCs w:val="28"/>
        </w:rPr>
        <w:t>1.支持患者基本信息、病情描述、生命体征数据、急救现场图片和视频的实时采集、存储与传输，急救中心可实时查看更新。</w:t>
      </w:r>
    </w:p>
    <w:p w14:paraId="026FA9C5">
      <w:pPr>
        <w:pStyle w:val="19"/>
        <w:spacing w:line="360" w:lineRule="auto"/>
        <w:ind w:firstLine="562"/>
        <w:rPr>
          <w:rFonts w:hint="eastAsia" w:ascii="宋体" w:hAnsi="宋体" w:eastAsia="宋体" w:cs="宋体"/>
          <w:color w:val="auto"/>
          <w:szCs w:val="28"/>
        </w:rPr>
      </w:pPr>
      <w:r>
        <w:rPr>
          <w:rFonts w:hint="eastAsia" w:ascii="宋体" w:hAnsi="宋体" w:eastAsia="宋体" w:cs="宋体"/>
          <w:b/>
          <w:bCs/>
          <w:color w:val="auto"/>
          <w:szCs w:val="28"/>
        </w:rPr>
        <w:t>▲</w:t>
      </w:r>
      <w:r>
        <w:rPr>
          <w:rFonts w:hint="eastAsia" w:ascii="宋体" w:hAnsi="宋体" w:eastAsia="宋体" w:cs="宋体"/>
          <w:color w:val="auto"/>
          <w:szCs w:val="28"/>
        </w:rPr>
        <w:t>2.具备患者信息历史记录查询功能，针对患者在辖区内历史的就诊记录、健康档案、电子病历信息等可以根据需要，随时进行调取，查阅、共享。</w:t>
      </w:r>
    </w:p>
    <w:p w14:paraId="42445F29">
      <w:pPr>
        <w:pStyle w:val="19"/>
        <w:spacing w:line="360" w:lineRule="auto"/>
        <w:ind w:firstLine="560"/>
        <w:rPr>
          <w:rFonts w:hint="eastAsia" w:ascii="宋体" w:hAnsi="宋体" w:eastAsia="宋体" w:cs="宋体"/>
          <w:color w:val="auto"/>
          <w:szCs w:val="28"/>
        </w:rPr>
      </w:pPr>
      <w:r>
        <w:rPr>
          <w:rFonts w:hint="eastAsia" w:ascii="宋体" w:hAnsi="宋体" w:eastAsia="宋体" w:cs="宋体"/>
          <w:color w:val="auto"/>
          <w:szCs w:val="28"/>
        </w:rPr>
        <w:t>3.支持录入患者转归去向：送回本院急诊、送回本院导管室、送往他院、死亡、留着原地；支持去向是他院的时候录入对应转归病情、转归去往的医院名称、对应地址、交接时间、转送原因；</w:t>
      </w:r>
    </w:p>
    <w:p w14:paraId="2E80398F">
      <w:pPr>
        <w:pStyle w:val="19"/>
        <w:spacing w:line="360" w:lineRule="auto"/>
        <w:ind w:firstLine="562"/>
        <w:rPr>
          <w:rFonts w:hint="eastAsia" w:ascii="宋体" w:hAnsi="宋体" w:eastAsia="宋体" w:cs="宋体"/>
          <w:color w:val="auto"/>
          <w:szCs w:val="28"/>
        </w:rPr>
      </w:pPr>
      <w:r>
        <w:rPr>
          <w:rFonts w:hint="eastAsia" w:ascii="宋体" w:hAnsi="宋体" w:eastAsia="宋体" w:cs="宋体"/>
          <w:b/>
          <w:bCs/>
          <w:color w:val="auto"/>
          <w:szCs w:val="28"/>
        </w:rPr>
        <w:t>远程音视频会诊：</w:t>
      </w:r>
    </w:p>
    <w:bookmarkEnd w:id="10"/>
    <w:p w14:paraId="28DE49ED">
      <w:pPr>
        <w:pStyle w:val="19"/>
        <w:spacing w:line="360" w:lineRule="auto"/>
        <w:ind w:firstLine="560"/>
        <w:rPr>
          <w:rFonts w:hint="eastAsia" w:ascii="宋体" w:hAnsi="宋体" w:eastAsia="宋体" w:cs="宋体"/>
          <w:color w:val="auto"/>
          <w:szCs w:val="28"/>
        </w:rPr>
      </w:pPr>
      <w:r>
        <w:rPr>
          <w:rFonts w:hint="eastAsia" w:ascii="宋体" w:hAnsi="宋体" w:eastAsia="宋体" w:cs="宋体"/>
          <w:color w:val="auto"/>
          <w:szCs w:val="28"/>
        </w:rPr>
        <w:t xml:space="preserve">▲1.会诊发起：急救车可通过终端发起视频会诊请求，邀请急救中心专家进行远程指导。急救中心可以直接选择在线的急救车终端、PC端、移动端进行呼叫，各个端收到邀请后加入会诊。 </w:t>
      </w:r>
    </w:p>
    <w:p w14:paraId="0CF6F78B">
      <w:pPr>
        <w:pStyle w:val="19"/>
        <w:spacing w:line="360" w:lineRule="auto"/>
        <w:ind w:firstLine="560"/>
        <w:rPr>
          <w:rFonts w:hint="eastAsia" w:ascii="宋体" w:hAnsi="宋体" w:eastAsia="宋体" w:cs="宋体"/>
          <w:color w:val="auto"/>
          <w:szCs w:val="28"/>
        </w:rPr>
      </w:pPr>
      <w:r>
        <w:rPr>
          <w:rFonts w:hint="eastAsia" w:ascii="宋体" w:hAnsi="宋体" w:eastAsia="宋体" w:cs="宋体"/>
          <w:color w:val="auto"/>
          <w:szCs w:val="28"/>
        </w:rPr>
        <w:t>2.多方参与：支持急救中心专家通过系统接入会诊，可根据需求邀请医院其他专家通过移动端加入，实现多方实时互动。PC端支持Windows、国产化客户端，移动端支持Android 和 Harmony OS 5 APP。</w:t>
      </w:r>
    </w:p>
    <w:p w14:paraId="501E74D5">
      <w:pPr>
        <w:pStyle w:val="19"/>
        <w:spacing w:line="360" w:lineRule="auto"/>
        <w:ind w:firstLine="560"/>
        <w:rPr>
          <w:rFonts w:hint="eastAsia" w:ascii="宋体" w:hAnsi="宋体" w:eastAsia="宋体" w:cs="宋体"/>
          <w:color w:val="auto"/>
          <w:szCs w:val="28"/>
        </w:rPr>
      </w:pPr>
      <w:r>
        <w:rPr>
          <w:rFonts w:hint="eastAsia" w:ascii="宋体" w:hAnsi="宋体" w:eastAsia="宋体" w:cs="宋体"/>
          <w:color w:val="auto"/>
          <w:szCs w:val="28"/>
        </w:rPr>
        <w:t>3.录制与回看：</w:t>
      </w:r>
      <w:bookmarkStart w:id="12" w:name="OLE_LINK130"/>
      <w:r>
        <w:rPr>
          <w:rFonts w:hint="eastAsia" w:ascii="宋体" w:hAnsi="宋体" w:eastAsia="宋体" w:cs="宋体"/>
          <w:color w:val="auto"/>
          <w:szCs w:val="28"/>
        </w:rPr>
        <w:t>会诊过程自动在服务器端录制并合成为MP4格式，支持在线点播回看，便于复盘和教学。</w:t>
      </w:r>
      <w:bookmarkEnd w:id="12"/>
    </w:p>
    <w:p w14:paraId="16FD8EA1">
      <w:pPr>
        <w:pStyle w:val="19"/>
        <w:spacing w:line="360" w:lineRule="auto"/>
        <w:ind w:firstLine="560"/>
        <w:rPr>
          <w:rFonts w:hint="eastAsia" w:ascii="宋体" w:hAnsi="宋体" w:eastAsia="宋体" w:cs="宋体"/>
          <w:color w:val="auto"/>
          <w:szCs w:val="28"/>
        </w:rPr>
      </w:pPr>
      <w:r>
        <w:rPr>
          <w:rFonts w:hint="eastAsia" w:ascii="宋体" w:hAnsi="宋体" w:eastAsia="宋体" w:cs="宋体"/>
          <w:color w:val="auto"/>
          <w:szCs w:val="28"/>
        </w:rPr>
        <w:t>4.生命体征同步：会诊时，急救车终端采集的患者生命体征信息实时同步至会诊界面，供专家参考。</w:t>
      </w:r>
    </w:p>
    <w:p w14:paraId="09F14C0D">
      <w:pPr>
        <w:pStyle w:val="19"/>
        <w:spacing w:line="360" w:lineRule="auto"/>
        <w:ind w:firstLine="560"/>
        <w:rPr>
          <w:rFonts w:hint="eastAsia" w:ascii="宋体" w:hAnsi="宋体" w:eastAsia="宋体" w:cs="宋体"/>
          <w:color w:val="auto"/>
          <w:szCs w:val="28"/>
        </w:rPr>
      </w:pPr>
      <w:r>
        <w:rPr>
          <w:rFonts w:hint="eastAsia" w:ascii="宋体" w:hAnsi="宋体" w:eastAsia="宋体" w:cs="宋体"/>
          <w:color w:val="auto"/>
          <w:szCs w:val="28"/>
        </w:rPr>
        <w:t>5. 断线重连： 急救车终端网络临时断线，20秒以内恢复，自动重连恢复音视频沟通，不会退出会诊。</w:t>
      </w:r>
    </w:p>
    <w:p w14:paraId="0DBF3BC0">
      <w:pPr>
        <w:pStyle w:val="3"/>
        <w:numPr>
          <w:ilvl w:val="0"/>
          <w:numId w:val="0"/>
        </w:numPr>
        <w:ind w:left="560" w:leftChars="200"/>
        <w:rPr>
          <w:color w:val="auto"/>
        </w:rPr>
      </w:pPr>
      <w:r>
        <w:rPr>
          <w:rFonts w:hint="eastAsia"/>
          <w:color w:val="auto"/>
        </w:rPr>
        <w:t>五、医防业务协同</w:t>
      </w:r>
    </w:p>
    <w:p w14:paraId="620C7B45">
      <w:pPr>
        <w:pStyle w:val="4"/>
        <w:ind w:firstLineChars="0"/>
        <w:rPr>
          <w:color w:val="auto"/>
        </w:rPr>
      </w:pPr>
      <w:r>
        <w:rPr>
          <w:rFonts w:hint="eastAsia"/>
          <w:color w:val="auto"/>
        </w:rPr>
        <w:t>（一）总体要求：</w:t>
      </w:r>
    </w:p>
    <w:p w14:paraId="5B1DE9D0">
      <w:pPr>
        <w:spacing w:line="360" w:lineRule="auto"/>
        <w:ind w:firstLine="560" w:firstLineChars="200"/>
        <w:rPr>
          <w:rFonts w:hint="eastAsia" w:ascii="宋体" w:hAnsi="宋体" w:eastAsia="宋体" w:cs="宋体"/>
          <w:color w:val="auto"/>
          <w:szCs w:val="28"/>
        </w:rPr>
      </w:pPr>
      <w:r>
        <w:rPr>
          <w:rFonts w:hint="eastAsia" w:ascii="宋体" w:hAnsi="宋体" w:eastAsia="宋体" w:cs="宋体"/>
          <w:color w:val="auto"/>
          <w:szCs w:val="28"/>
        </w:rPr>
        <w:t>通过平台实现与地区公共卫生系统对接，实现公共卫生相关业务数据能够在平台上做展示，便于相关领导监管、统计、分析。</w:t>
      </w:r>
    </w:p>
    <w:p w14:paraId="37141ACD">
      <w:pPr>
        <w:pStyle w:val="4"/>
        <w:ind w:firstLineChars="0"/>
        <w:rPr>
          <w:color w:val="auto"/>
        </w:rPr>
      </w:pPr>
      <w:r>
        <w:rPr>
          <w:rFonts w:hint="eastAsia"/>
          <w:color w:val="auto"/>
        </w:rPr>
        <w:t>（二）分项内容：</w:t>
      </w:r>
    </w:p>
    <w:p w14:paraId="1607C30F">
      <w:pPr>
        <w:spacing w:line="360" w:lineRule="auto"/>
        <w:ind w:firstLine="562" w:firstLineChars="200"/>
        <w:rPr>
          <w:rFonts w:hint="eastAsia" w:ascii="宋体" w:hAnsi="宋体" w:eastAsia="宋体" w:cs="宋体"/>
          <w:b/>
          <w:bCs/>
          <w:color w:val="auto"/>
          <w:szCs w:val="28"/>
        </w:rPr>
      </w:pPr>
      <w:r>
        <w:rPr>
          <w:rFonts w:hint="eastAsia" w:ascii="宋体" w:hAnsi="宋体" w:eastAsia="宋体" w:cs="宋体"/>
          <w:b/>
          <w:bCs/>
          <w:color w:val="auto"/>
          <w:szCs w:val="28"/>
        </w:rPr>
        <w:t>1、慢性病业务协同服务</w:t>
      </w:r>
    </w:p>
    <w:p w14:paraId="07748C65">
      <w:pPr>
        <w:spacing w:line="360" w:lineRule="auto"/>
        <w:ind w:firstLine="560" w:firstLineChars="200"/>
        <w:rPr>
          <w:rFonts w:hint="eastAsia" w:ascii="宋体" w:hAnsi="宋体" w:eastAsia="宋体" w:cs="宋体"/>
          <w:color w:val="auto"/>
          <w:szCs w:val="28"/>
        </w:rPr>
      </w:pPr>
      <w:r>
        <w:rPr>
          <w:rFonts w:hint="eastAsia" w:ascii="宋体" w:hAnsi="宋体" w:eastAsia="宋体" w:cs="宋体"/>
          <w:color w:val="auto"/>
          <w:szCs w:val="28"/>
        </w:rPr>
        <w:t>满足与公共卫生系统对接，通过获取公共卫生慢性病相关数据，提供针对慢性病人群的监管分析功能。在公共卫生系统条件满足时，能够支持医疗的相关慢性病患者服务数据能够推送给公共卫生系统，实现业务协同服务应用。</w:t>
      </w:r>
    </w:p>
    <w:p w14:paraId="33EC9DE5">
      <w:pPr>
        <w:pStyle w:val="19"/>
        <w:spacing w:line="360" w:lineRule="auto"/>
        <w:ind w:firstLine="562"/>
        <w:rPr>
          <w:rFonts w:hint="eastAsia" w:ascii="宋体" w:hAnsi="宋体" w:eastAsia="宋体" w:cs="宋体"/>
          <w:b/>
          <w:bCs/>
          <w:color w:val="auto"/>
          <w:szCs w:val="28"/>
        </w:rPr>
      </w:pPr>
      <w:r>
        <w:rPr>
          <w:rFonts w:hint="eastAsia" w:ascii="宋体" w:hAnsi="宋体" w:eastAsia="宋体" w:cs="宋体"/>
          <w:b/>
          <w:bCs/>
          <w:color w:val="auto"/>
          <w:szCs w:val="28"/>
        </w:rPr>
        <w:t>2、老年健康业务协同服务</w:t>
      </w:r>
    </w:p>
    <w:p w14:paraId="15EC2DAC">
      <w:pPr>
        <w:spacing w:line="360" w:lineRule="auto"/>
        <w:ind w:firstLine="560" w:firstLineChars="200"/>
        <w:rPr>
          <w:rFonts w:hint="eastAsia" w:ascii="宋体" w:hAnsi="宋体" w:eastAsia="宋体" w:cs="宋体"/>
          <w:color w:val="auto"/>
          <w:szCs w:val="28"/>
        </w:rPr>
      </w:pPr>
      <w:r>
        <w:rPr>
          <w:rFonts w:hint="eastAsia" w:ascii="宋体" w:hAnsi="宋体" w:eastAsia="宋体" w:cs="宋体"/>
          <w:color w:val="auto"/>
          <w:szCs w:val="28"/>
        </w:rPr>
        <w:t>满足与公共卫生系统对接，通过获取公共卫生老年人相关数据，提供针对老年人人群的监管分析功能。在公共卫生系统条件满足时，能够支持医疗的相关老年人服务数据能够推送给公共卫生系统，实现业务协同服务应用。</w:t>
      </w:r>
    </w:p>
    <w:p w14:paraId="43A9F5FC">
      <w:pPr>
        <w:pStyle w:val="19"/>
        <w:spacing w:line="360" w:lineRule="auto"/>
        <w:ind w:firstLine="562"/>
        <w:rPr>
          <w:rFonts w:hint="eastAsia" w:ascii="宋体" w:hAnsi="宋体" w:eastAsia="宋体" w:cs="宋体"/>
          <w:b/>
          <w:bCs/>
          <w:color w:val="auto"/>
          <w:szCs w:val="28"/>
        </w:rPr>
      </w:pPr>
      <w:r>
        <w:rPr>
          <w:rFonts w:hint="eastAsia" w:ascii="宋体" w:hAnsi="宋体" w:eastAsia="宋体" w:cs="宋体"/>
          <w:b/>
          <w:bCs/>
          <w:color w:val="auto"/>
          <w:szCs w:val="28"/>
        </w:rPr>
        <w:t>3、妇幼保健业务协同服务</w:t>
      </w:r>
    </w:p>
    <w:p w14:paraId="4938C2BA">
      <w:pPr>
        <w:spacing w:line="360" w:lineRule="auto"/>
        <w:ind w:firstLine="560" w:firstLineChars="200"/>
        <w:rPr>
          <w:rFonts w:hint="eastAsia" w:ascii="宋体" w:hAnsi="宋体" w:eastAsia="宋体" w:cs="宋体"/>
          <w:color w:val="auto"/>
          <w:szCs w:val="28"/>
        </w:rPr>
      </w:pPr>
      <w:r>
        <w:rPr>
          <w:rFonts w:hint="eastAsia" w:ascii="宋体" w:hAnsi="宋体" w:eastAsia="宋体" w:cs="宋体"/>
          <w:color w:val="auto"/>
          <w:szCs w:val="28"/>
        </w:rPr>
        <w:t>满足与公共卫生系统对接，通过获取公共卫生妇女、儿童相关数据，提供针对妇女、儿童的监管分析功能。在公共卫生系统条件满足时，能够支持医疗的相关妇女、儿童服务数据能够推送给公共卫生系统，实现业务协同服务应用。</w:t>
      </w:r>
    </w:p>
    <w:p w14:paraId="00E6A958">
      <w:pPr>
        <w:spacing w:line="360" w:lineRule="auto"/>
        <w:ind w:firstLine="562" w:firstLineChars="200"/>
        <w:rPr>
          <w:rFonts w:hint="eastAsia" w:ascii="宋体" w:hAnsi="宋体" w:eastAsia="宋体" w:cs="宋体"/>
          <w:b/>
          <w:bCs/>
          <w:color w:val="auto"/>
          <w:szCs w:val="28"/>
        </w:rPr>
      </w:pPr>
      <w:r>
        <w:rPr>
          <w:rFonts w:hint="eastAsia" w:ascii="宋体" w:hAnsi="宋体" w:eastAsia="宋体" w:cs="宋体"/>
          <w:b/>
          <w:bCs/>
          <w:color w:val="auto"/>
          <w:szCs w:val="28"/>
        </w:rPr>
        <w:t>4、疫苗接种业务协同服务</w:t>
      </w:r>
    </w:p>
    <w:p w14:paraId="64807EF4">
      <w:pPr>
        <w:spacing w:line="360" w:lineRule="auto"/>
        <w:ind w:firstLine="560" w:firstLineChars="200"/>
        <w:rPr>
          <w:rFonts w:hint="eastAsia" w:ascii="宋体" w:hAnsi="宋体" w:eastAsia="宋体" w:cs="宋体"/>
          <w:color w:val="auto"/>
          <w:szCs w:val="28"/>
        </w:rPr>
      </w:pPr>
      <w:r>
        <w:rPr>
          <w:rFonts w:hint="eastAsia" w:ascii="宋体" w:hAnsi="宋体" w:eastAsia="宋体" w:cs="宋体"/>
          <w:color w:val="auto"/>
          <w:szCs w:val="28"/>
        </w:rPr>
        <w:t>满足与公共卫生系统对接，通过获取疫苗接种相关数据，提供针对疫苗接种数据的监管分析功能。在公共卫生系统条件满足时，能够支持医疗的疫苗接种相关数据能够推送给公共卫生系统，实现业务协同服务应用。</w:t>
      </w:r>
    </w:p>
    <w:p w14:paraId="6EFA228C">
      <w:pPr>
        <w:spacing w:line="360" w:lineRule="auto"/>
        <w:ind w:firstLine="562" w:firstLineChars="200"/>
        <w:rPr>
          <w:rFonts w:hint="eastAsia" w:ascii="宋体" w:hAnsi="宋体" w:eastAsia="宋体" w:cs="宋体"/>
          <w:b/>
          <w:bCs/>
          <w:color w:val="auto"/>
          <w:szCs w:val="28"/>
        </w:rPr>
      </w:pPr>
      <w:r>
        <w:rPr>
          <w:rFonts w:hint="eastAsia" w:ascii="宋体" w:hAnsi="宋体" w:eastAsia="宋体" w:cs="宋体"/>
          <w:b/>
          <w:bCs/>
          <w:color w:val="auto"/>
          <w:szCs w:val="28"/>
        </w:rPr>
        <w:t>5、突发公共卫生事件应急处置指挥协同管理</w:t>
      </w:r>
    </w:p>
    <w:p w14:paraId="52E5D2FC">
      <w:pPr>
        <w:spacing w:line="360" w:lineRule="auto"/>
        <w:ind w:firstLine="560" w:firstLineChars="200"/>
        <w:rPr>
          <w:rFonts w:hint="eastAsia" w:ascii="宋体" w:hAnsi="宋体" w:eastAsia="宋体" w:cs="宋体"/>
          <w:b/>
          <w:bCs/>
          <w:color w:val="auto"/>
          <w:szCs w:val="28"/>
        </w:rPr>
      </w:pPr>
      <w:r>
        <w:rPr>
          <w:rFonts w:hint="eastAsia" w:ascii="宋体" w:hAnsi="宋体" w:eastAsia="宋体" w:cs="宋体"/>
          <w:color w:val="auto"/>
          <w:szCs w:val="28"/>
        </w:rPr>
        <w:t>满足与公共卫生系统对接，通过获取突发公共卫生事件相关数据，提供针对突发公共卫生事件数据的监管分析功能。在公共卫生系统条件满足时，能够支持医疗的突发公共卫生事件的相关数据能够推送给公共卫生系统，实现业务协同服务应用。</w:t>
      </w:r>
    </w:p>
    <w:p w14:paraId="4BC0FE89">
      <w:pPr>
        <w:spacing w:line="360" w:lineRule="auto"/>
        <w:ind w:firstLine="562" w:firstLineChars="200"/>
        <w:rPr>
          <w:rFonts w:hint="eastAsia" w:ascii="宋体" w:hAnsi="宋体" w:eastAsia="宋体" w:cs="宋体"/>
          <w:b/>
          <w:bCs/>
          <w:color w:val="auto"/>
          <w:szCs w:val="28"/>
        </w:rPr>
      </w:pPr>
      <w:r>
        <w:rPr>
          <w:rFonts w:hint="eastAsia" w:ascii="宋体" w:hAnsi="宋体" w:eastAsia="宋体" w:cs="宋体"/>
          <w:b/>
          <w:bCs/>
          <w:color w:val="auto"/>
          <w:szCs w:val="28"/>
        </w:rPr>
        <w:t>6、基层医疗卫生机构和公共卫生业务协同服务</w:t>
      </w:r>
    </w:p>
    <w:p w14:paraId="4D81DC3F">
      <w:pPr>
        <w:spacing w:line="360" w:lineRule="auto"/>
        <w:ind w:firstLine="560" w:firstLineChars="200"/>
        <w:rPr>
          <w:rFonts w:hint="eastAsia" w:ascii="宋体" w:hAnsi="宋体" w:eastAsia="宋体" w:cs="宋体"/>
          <w:b/>
          <w:bCs/>
          <w:color w:val="auto"/>
          <w:szCs w:val="28"/>
        </w:rPr>
      </w:pPr>
      <w:r>
        <w:rPr>
          <w:rFonts w:hint="eastAsia" w:ascii="宋体" w:hAnsi="宋体" w:eastAsia="宋体" w:cs="宋体"/>
          <w:color w:val="auto"/>
          <w:szCs w:val="28"/>
        </w:rPr>
        <w:t>在公共卫生系统条件满足时，实现基层医疗系统针对慢性病患者、家庭医生签约患者、孕产妇患者的诊疗数据推送到公共卫生系统，进行管理提醒，实现基层医疗卫生机构和公共卫生业务的协同应用。</w:t>
      </w:r>
    </w:p>
    <w:p w14:paraId="0312E515">
      <w:pPr>
        <w:spacing w:line="360" w:lineRule="auto"/>
        <w:ind w:firstLine="562" w:firstLineChars="200"/>
        <w:rPr>
          <w:rFonts w:hint="eastAsia" w:ascii="宋体" w:hAnsi="宋体" w:eastAsia="宋体" w:cs="宋体"/>
          <w:b/>
          <w:bCs/>
          <w:color w:val="auto"/>
          <w:szCs w:val="28"/>
        </w:rPr>
      </w:pPr>
      <w:r>
        <w:rPr>
          <w:rFonts w:hint="eastAsia" w:ascii="宋体" w:hAnsi="宋体" w:eastAsia="宋体" w:cs="宋体"/>
          <w:b/>
          <w:bCs/>
          <w:color w:val="auto"/>
          <w:szCs w:val="28"/>
        </w:rPr>
        <w:t>7、其他卫生业务协同服务</w:t>
      </w:r>
    </w:p>
    <w:p w14:paraId="7878AEB0">
      <w:pPr>
        <w:spacing w:line="360" w:lineRule="auto"/>
        <w:ind w:firstLine="560" w:firstLineChars="200"/>
        <w:rPr>
          <w:rFonts w:hint="eastAsia" w:ascii="宋体" w:hAnsi="宋体" w:eastAsia="宋体" w:cs="宋体"/>
          <w:color w:val="auto"/>
          <w:szCs w:val="28"/>
        </w:rPr>
      </w:pPr>
      <w:r>
        <w:rPr>
          <w:rFonts w:hint="eastAsia" w:ascii="宋体" w:hAnsi="宋体" w:eastAsia="宋体" w:cs="宋体"/>
          <w:color w:val="auto"/>
          <w:szCs w:val="28"/>
        </w:rPr>
        <w:t>满足与公共卫生系统对接，通过获取其他卫生业务服务的相关数据，提供针对其他卫生业务服务的监管分析功能。在公共卫生系统条件满足时，能够支持医疗的其他公共卫生的相关数据能够推送给公共卫生系统，实现业务协同服务应用。</w:t>
      </w:r>
    </w:p>
    <w:p w14:paraId="610A6858">
      <w:pPr>
        <w:pStyle w:val="3"/>
        <w:numPr>
          <w:ilvl w:val="0"/>
          <w:numId w:val="0"/>
        </w:numPr>
        <w:ind w:left="560" w:leftChars="200"/>
        <w:rPr>
          <w:color w:val="auto"/>
        </w:rPr>
      </w:pPr>
      <w:r>
        <w:rPr>
          <w:rFonts w:hint="eastAsia"/>
          <w:color w:val="auto"/>
        </w:rPr>
        <w:t>六、绩效考核中心</w:t>
      </w:r>
    </w:p>
    <w:p w14:paraId="233CFF83">
      <w:pPr>
        <w:pStyle w:val="4"/>
        <w:ind w:firstLineChars="0"/>
        <w:rPr>
          <w:color w:val="auto"/>
        </w:rPr>
      </w:pPr>
      <w:r>
        <w:rPr>
          <w:rFonts w:hint="eastAsia"/>
          <w:color w:val="auto"/>
        </w:rPr>
        <w:t>（一）总体要求：</w:t>
      </w:r>
    </w:p>
    <w:p w14:paraId="7A3B05D8">
      <w:pPr>
        <w:ind w:firstLine="560" w:firstLineChars="200"/>
        <w:rPr>
          <w:color w:val="auto"/>
        </w:rPr>
      </w:pPr>
      <w:r>
        <w:rPr>
          <w:rFonts w:hint="eastAsia"/>
          <w:color w:val="auto"/>
        </w:rPr>
        <w:t>针</w:t>
      </w:r>
      <w:bookmarkStart w:id="13" w:name="OLE_LINK131"/>
      <w:r>
        <w:rPr>
          <w:rFonts w:hint="eastAsia"/>
          <w:color w:val="auto"/>
        </w:rPr>
        <w:t>对医共体内各医疗机构的日常工作内容，制定相应的考核方案，通过系统制定的考核方案指标核算各医疗机构的工作量；提供绩效考核评价功能，利用系统实现总院对分院的绩效考核。</w:t>
      </w:r>
      <w:bookmarkEnd w:id="13"/>
      <w:bookmarkStart w:id="14" w:name="OLE_LINK3"/>
    </w:p>
    <w:p w14:paraId="79CF16CF">
      <w:pPr>
        <w:pStyle w:val="4"/>
        <w:ind w:firstLineChars="0"/>
        <w:rPr>
          <w:color w:val="auto"/>
        </w:rPr>
      </w:pPr>
      <w:r>
        <w:rPr>
          <w:rFonts w:hint="eastAsia"/>
          <w:color w:val="auto"/>
        </w:rPr>
        <w:t>（二）系统需提供以下功能：</w:t>
      </w:r>
      <w:bookmarkEnd w:id="14"/>
    </w:p>
    <w:p w14:paraId="359AA889">
      <w:pPr>
        <w:rPr>
          <w:rFonts w:hint="eastAsia" w:ascii="宋体" w:hAnsi="宋体" w:eastAsia="宋体" w:cs="宋体"/>
          <w:color w:val="auto"/>
          <w:szCs w:val="28"/>
        </w:rPr>
      </w:pPr>
      <w:r>
        <w:rPr>
          <w:rFonts w:ascii="宋体" w:hAnsi="宋体" w:eastAsia="宋体" w:cs="宋体"/>
          <w:color w:val="auto"/>
          <w:szCs w:val="28"/>
        </w:rPr>
        <w:t>一、考核方案管理</w:t>
      </w:r>
    </w:p>
    <w:p w14:paraId="534D4DE0">
      <w:pPr>
        <w:rPr>
          <w:rFonts w:hint="eastAsia" w:ascii="宋体" w:hAnsi="宋体" w:eastAsia="宋体" w:cs="宋体"/>
          <w:color w:val="auto"/>
          <w:szCs w:val="28"/>
        </w:rPr>
      </w:pPr>
      <w:r>
        <w:rPr>
          <w:rFonts w:ascii="宋体" w:hAnsi="宋体" w:eastAsia="宋体" w:cs="宋体"/>
          <w:color w:val="auto"/>
          <w:szCs w:val="28"/>
        </w:rPr>
        <w:t>（一）方案定制</w:t>
      </w:r>
    </w:p>
    <w:p w14:paraId="137ED0BD">
      <w:pPr>
        <w:ind w:firstLine="420"/>
        <w:rPr>
          <w:rFonts w:hint="eastAsia" w:ascii="宋体" w:hAnsi="宋体" w:eastAsia="宋体" w:cs="宋体"/>
          <w:color w:val="auto"/>
          <w:szCs w:val="28"/>
        </w:rPr>
      </w:pPr>
      <w:r>
        <w:rPr>
          <w:rFonts w:hint="eastAsia" w:ascii="宋体" w:hAnsi="宋体" w:eastAsia="宋体" w:cs="宋体"/>
          <w:b/>
          <w:bCs/>
          <w:color w:val="auto"/>
          <w:szCs w:val="28"/>
        </w:rPr>
        <w:t>▲</w:t>
      </w:r>
      <w:r>
        <w:rPr>
          <w:rFonts w:ascii="宋体" w:hAnsi="宋体" w:eastAsia="宋体" w:cs="宋体"/>
          <w:color w:val="auto"/>
          <w:szCs w:val="28"/>
        </w:rPr>
        <w:t>深入分析医共体内总院、各分院等不同医疗机构的日常工作特点与要求，量身定制差异化的考核方案。例如，针对总院可侧重医疗技术创新、疑难病例诊治等指标，针对基层分院可侧重基本公共卫生服务、常见病多发病诊疗等指标。</w:t>
      </w:r>
    </w:p>
    <w:p w14:paraId="037265B3">
      <w:pPr>
        <w:rPr>
          <w:rFonts w:hint="eastAsia" w:ascii="宋体" w:hAnsi="宋体" w:eastAsia="宋体" w:cs="宋体"/>
          <w:color w:val="auto"/>
          <w:szCs w:val="28"/>
        </w:rPr>
      </w:pPr>
      <w:r>
        <w:rPr>
          <w:rFonts w:ascii="宋体" w:hAnsi="宋体" w:eastAsia="宋体" w:cs="宋体"/>
          <w:color w:val="auto"/>
          <w:szCs w:val="28"/>
        </w:rPr>
        <w:t>（二）指标配置</w:t>
      </w:r>
    </w:p>
    <w:p w14:paraId="1C547B0F">
      <w:pPr>
        <w:ind w:firstLine="420"/>
        <w:rPr>
          <w:rFonts w:hint="eastAsia" w:ascii="宋体" w:hAnsi="宋体" w:eastAsia="宋体" w:cs="宋体"/>
          <w:color w:val="auto"/>
          <w:szCs w:val="28"/>
        </w:rPr>
      </w:pPr>
      <w:r>
        <w:rPr>
          <w:rFonts w:hint="eastAsia" w:ascii="宋体" w:hAnsi="宋体" w:eastAsia="宋体" w:cs="宋体"/>
          <w:b/>
          <w:bCs/>
          <w:color w:val="auto"/>
          <w:szCs w:val="28"/>
        </w:rPr>
        <w:t>▲</w:t>
      </w:r>
      <w:r>
        <w:rPr>
          <w:rFonts w:ascii="宋体" w:hAnsi="宋体" w:eastAsia="宋体" w:cs="宋体"/>
          <w:color w:val="auto"/>
          <w:szCs w:val="28"/>
        </w:rPr>
        <w:t>可对考核指标进行精细化配置，涵盖医疗服务、医疗质量、公共卫生服务、运营管理等多个维度，且每个指标的权重可根据管理需求灵活调整，以准确反映各项工作的重要程度。</w:t>
      </w:r>
    </w:p>
    <w:p w14:paraId="3170AFEB">
      <w:pPr>
        <w:rPr>
          <w:rFonts w:hint="eastAsia" w:ascii="宋体" w:hAnsi="宋体" w:eastAsia="宋体" w:cs="宋体"/>
          <w:color w:val="auto"/>
          <w:szCs w:val="28"/>
        </w:rPr>
      </w:pPr>
      <w:r>
        <w:rPr>
          <w:rFonts w:ascii="宋体" w:hAnsi="宋体" w:eastAsia="宋体" w:cs="宋体"/>
          <w:color w:val="auto"/>
          <w:szCs w:val="28"/>
        </w:rPr>
        <w:t>二、工作量核算</w:t>
      </w:r>
    </w:p>
    <w:p w14:paraId="50FD94A4">
      <w:pPr>
        <w:rPr>
          <w:rFonts w:hint="eastAsia" w:ascii="宋体" w:hAnsi="宋体" w:eastAsia="宋体" w:cs="宋体"/>
          <w:color w:val="auto"/>
          <w:szCs w:val="28"/>
        </w:rPr>
      </w:pPr>
      <w:r>
        <w:rPr>
          <w:rFonts w:ascii="宋体" w:hAnsi="宋体" w:eastAsia="宋体" w:cs="宋体"/>
          <w:color w:val="auto"/>
          <w:szCs w:val="28"/>
        </w:rPr>
        <w:t>（一）数据采集</w:t>
      </w:r>
    </w:p>
    <w:p w14:paraId="5C700897">
      <w:pPr>
        <w:ind w:firstLine="420"/>
        <w:rPr>
          <w:rFonts w:hint="eastAsia" w:ascii="宋体" w:hAnsi="宋体" w:eastAsia="宋体" w:cs="宋体"/>
          <w:color w:val="auto"/>
          <w:szCs w:val="28"/>
        </w:rPr>
      </w:pPr>
      <w:r>
        <w:rPr>
          <w:rFonts w:hint="eastAsia" w:ascii="宋体" w:hAnsi="宋体" w:eastAsia="宋体" w:cs="宋体"/>
          <w:color w:val="auto"/>
          <w:szCs w:val="28"/>
        </w:rPr>
        <w:t>通过医共体信息平台获取</w:t>
      </w:r>
      <w:r>
        <w:rPr>
          <w:rFonts w:ascii="宋体" w:hAnsi="宋体" w:eastAsia="宋体" w:cs="宋体"/>
          <w:color w:val="auto"/>
          <w:szCs w:val="28"/>
        </w:rPr>
        <w:t>各医疗机构的HIS、LIS、PACS等业务</w:t>
      </w:r>
      <w:r>
        <w:rPr>
          <w:rFonts w:hint="eastAsia" w:ascii="宋体" w:hAnsi="宋体" w:eastAsia="宋体" w:cs="宋体"/>
          <w:color w:val="auto"/>
          <w:szCs w:val="28"/>
        </w:rPr>
        <w:t>数据</w:t>
      </w:r>
      <w:r>
        <w:rPr>
          <w:rFonts w:ascii="宋体" w:hAnsi="宋体" w:eastAsia="宋体" w:cs="宋体"/>
          <w:color w:val="auto"/>
          <w:szCs w:val="28"/>
        </w:rPr>
        <w:t>，抓取门诊量、住院量、检查检验项目数量等业务数据，避免人工录入的繁琐与误差。</w:t>
      </w:r>
    </w:p>
    <w:p w14:paraId="5FDC717B">
      <w:pPr>
        <w:rPr>
          <w:rFonts w:hint="eastAsia" w:ascii="宋体" w:hAnsi="宋体" w:eastAsia="宋体" w:cs="宋体"/>
          <w:color w:val="auto"/>
          <w:szCs w:val="28"/>
        </w:rPr>
      </w:pPr>
      <w:r>
        <w:rPr>
          <w:rFonts w:ascii="宋体" w:hAnsi="宋体" w:eastAsia="宋体" w:cs="宋体"/>
          <w:color w:val="auto"/>
          <w:szCs w:val="28"/>
        </w:rPr>
        <w:t>（二）指标核算</w:t>
      </w:r>
    </w:p>
    <w:p w14:paraId="42873A4F">
      <w:pPr>
        <w:ind w:firstLine="420"/>
        <w:rPr>
          <w:rFonts w:hint="eastAsia" w:ascii="宋体" w:hAnsi="宋体" w:eastAsia="宋体" w:cs="宋体"/>
          <w:color w:val="auto"/>
          <w:szCs w:val="28"/>
        </w:rPr>
      </w:pPr>
      <w:r>
        <w:rPr>
          <w:rFonts w:hint="eastAsia" w:ascii="宋体" w:hAnsi="宋体" w:eastAsia="宋体" w:cs="宋体"/>
          <w:b/>
          <w:bCs/>
          <w:color w:val="auto"/>
          <w:szCs w:val="28"/>
        </w:rPr>
        <w:t>▲</w:t>
      </w:r>
      <w:r>
        <w:rPr>
          <w:rFonts w:ascii="宋体" w:hAnsi="宋体" w:eastAsia="宋体" w:cs="宋体"/>
          <w:color w:val="auto"/>
          <w:szCs w:val="28"/>
        </w:rPr>
        <w:t>严格按照考核方案中设定的指标规则，自动对各医疗机构的工作量进行核算，确保工作量统计的准确性与及时性，为绩效考核提供数据基础。</w:t>
      </w:r>
    </w:p>
    <w:p w14:paraId="4F549070">
      <w:pPr>
        <w:rPr>
          <w:rFonts w:hint="eastAsia" w:ascii="宋体" w:hAnsi="宋体" w:eastAsia="宋体" w:cs="宋体"/>
          <w:color w:val="auto"/>
          <w:szCs w:val="28"/>
        </w:rPr>
      </w:pPr>
      <w:r>
        <w:rPr>
          <w:rFonts w:ascii="宋体" w:hAnsi="宋体" w:eastAsia="宋体" w:cs="宋体"/>
          <w:color w:val="auto"/>
          <w:szCs w:val="28"/>
        </w:rPr>
        <w:t>三、绩效考核评价</w:t>
      </w:r>
    </w:p>
    <w:p w14:paraId="5DCC936E">
      <w:pPr>
        <w:rPr>
          <w:rFonts w:hint="eastAsia" w:ascii="宋体" w:hAnsi="宋体" w:eastAsia="宋体" w:cs="宋体"/>
          <w:color w:val="auto"/>
          <w:szCs w:val="28"/>
        </w:rPr>
      </w:pPr>
      <w:r>
        <w:rPr>
          <w:rFonts w:ascii="宋体" w:hAnsi="宋体" w:eastAsia="宋体" w:cs="宋体"/>
          <w:color w:val="auto"/>
          <w:szCs w:val="28"/>
        </w:rPr>
        <w:t>（一）评价模型构建</w:t>
      </w:r>
    </w:p>
    <w:p w14:paraId="4ED25FB9">
      <w:pPr>
        <w:ind w:firstLine="420"/>
        <w:rPr>
          <w:rFonts w:hint="eastAsia" w:ascii="宋体" w:hAnsi="宋体" w:eastAsia="宋体" w:cs="宋体"/>
          <w:color w:val="auto"/>
          <w:szCs w:val="28"/>
        </w:rPr>
      </w:pPr>
      <w:r>
        <w:rPr>
          <w:rFonts w:ascii="宋体" w:hAnsi="宋体" w:eastAsia="宋体" w:cs="宋体"/>
          <w:color w:val="auto"/>
          <w:szCs w:val="28"/>
        </w:rPr>
        <w:t>构建了多维度的绩效考核评价模型，从工作效率、工作质量、服务满意度等多个角度对考核对象进行全面评价。</w:t>
      </w:r>
    </w:p>
    <w:p w14:paraId="6560CB54">
      <w:pPr>
        <w:rPr>
          <w:rFonts w:hint="eastAsia" w:ascii="宋体" w:hAnsi="宋体" w:eastAsia="宋体" w:cs="宋体"/>
          <w:color w:val="auto"/>
          <w:szCs w:val="28"/>
        </w:rPr>
      </w:pPr>
      <w:r>
        <w:rPr>
          <w:rFonts w:ascii="宋体" w:hAnsi="宋体" w:eastAsia="宋体" w:cs="宋体"/>
          <w:color w:val="auto"/>
          <w:szCs w:val="28"/>
        </w:rPr>
        <w:t>（二）绩效评分计算</w:t>
      </w:r>
    </w:p>
    <w:p w14:paraId="0E1C2B33">
      <w:pPr>
        <w:ind w:firstLine="420"/>
        <w:rPr>
          <w:rFonts w:hint="eastAsia" w:ascii="宋体" w:hAnsi="宋体" w:eastAsia="宋体" w:cs="宋体"/>
          <w:color w:val="auto"/>
          <w:szCs w:val="28"/>
        </w:rPr>
      </w:pPr>
      <w:r>
        <w:rPr>
          <w:rFonts w:ascii="宋体" w:hAnsi="宋体" w:eastAsia="宋体" w:cs="宋体"/>
          <w:color w:val="auto"/>
          <w:szCs w:val="28"/>
        </w:rPr>
        <w:t>基于核算出的工作量数据以及指标权重设置，系统自动计算出各考核对象的绩效评分，实现对医疗机构、科室和人员绩效的量化评价。</w:t>
      </w:r>
    </w:p>
    <w:p w14:paraId="44408FEA">
      <w:pPr>
        <w:rPr>
          <w:rFonts w:hint="eastAsia" w:ascii="宋体" w:hAnsi="宋体" w:eastAsia="宋体" w:cs="宋体"/>
          <w:color w:val="auto"/>
          <w:szCs w:val="28"/>
        </w:rPr>
      </w:pPr>
      <w:r>
        <w:rPr>
          <w:rFonts w:ascii="宋体" w:hAnsi="宋体" w:eastAsia="宋体" w:cs="宋体"/>
          <w:color w:val="auto"/>
          <w:szCs w:val="28"/>
        </w:rPr>
        <w:t>四、考核对象管理</w:t>
      </w:r>
    </w:p>
    <w:p w14:paraId="1ACCF70B">
      <w:pPr>
        <w:rPr>
          <w:rFonts w:hint="eastAsia" w:ascii="宋体" w:hAnsi="宋体" w:eastAsia="宋体" w:cs="宋体"/>
          <w:color w:val="auto"/>
          <w:szCs w:val="28"/>
        </w:rPr>
      </w:pPr>
      <w:r>
        <w:rPr>
          <w:rFonts w:ascii="宋体" w:hAnsi="宋体" w:eastAsia="宋体" w:cs="宋体"/>
          <w:color w:val="auto"/>
          <w:szCs w:val="28"/>
        </w:rPr>
        <w:t>（一）对象层级管理</w:t>
      </w:r>
    </w:p>
    <w:p w14:paraId="2ACC77D7">
      <w:pPr>
        <w:rPr>
          <w:rFonts w:hint="eastAsia" w:ascii="宋体" w:hAnsi="宋体" w:eastAsia="宋体" w:cs="宋体"/>
          <w:color w:val="auto"/>
          <w:szCs w:val="28"/>
        </w:rPr>
      </w:pPr>
      <w:r>
        <w:rPr>
          <w:rFonts w:ascii="宋体" w:hAnsi="宋体" w:eastAsia="宋体" w:cs="宋体"/>
          <w:color w:val="auto"/>
          <w:szCs w:val="28"/>
        </w:rPr>
        <w:t>绩效考核覆盖范围广泛，支持总院对分院的绩效考核，满足医共体的管理考核需求。</w:t>
      </w:r>
    </w:p>
    <w:p w14:paraId="4C6F80A9">
      <w:pPr>
        <w:rPr>
          <w:rFonts w:hint="eastAsia" w:ascii="宋体" w:hAnsi="宋体" w:eastAsia="宋体" w:cs="宋体"/>
          <w:color w:val="auto"/>
          <w:szCs w:val="28"/>
        </w:rPr>
      </w:pPr>
      <w:r>
        <w:rPr>
          <w:rFonts w:ascii="宋体" w:hAnsi="宋体" w:eastAsia="宋体" w:cs="宋体"/>
          <w:color w:val="auto"/>
          <w:szCs w:val="28"/>
        </w:rPr>
        <w:t>（二）对象信息维护</w:t>
      </w:r>
    </w:p>
    <w:p w14:paraId="4FD25467">
      <w:pPr>
        <w:ind w:firstLine="420"/>
        <w:rPr>
          <w:rFonts w:hint="eastAsia" w:ascii="宋体" w:hAnsi="宋体" w:eastAsia="宋体" w:cs="宋体"/>
          <w:color w:val="auto"/>
          <w:szCs w:val="28"/>
        </w:rPr>
      </w:pPr>
      <w:r>
        <w:rPr>
          <w:rFonts w:ascii="宋体" w:hAnsi="宋体" w:eastAsia="宋体" w:cs="宋体"/>
          <w:color w:val="auto"/>
          <w:szCs w:val="28"/>
        </w:rPr>
        <w:t>可对考核对象信息进行灵活维护，包括新增、修改、删除考核对象，确保考核对象体系与医共体实际组织架构保持一致。</w:t>
      </w:r>
    </w:p>
    <w:p w14:paraId="682B5CFD">
      <w:pPr>
        <w:rPr>
          <w:rFonts w:hint="eastAsia" w:ascii="宋体" w:hAnsi="宋体" w:eastAsia="宋体" w:cs="宋体"/>
          <w:color w:val="auto"/>
          <w:szCs w:val="28"/>
        </w:rPr>
      </w:pPr>
      <w:r>
        <w:rPr>
          <w:rFonts w:ascii="宋体" w:hAnsi="宋体" w:eastAsia="宋体" w:cs="宋体"/>
          <w:color w:val="auto"/>
          <w:szCs w:val="28"/>
        </w:rPr>
        <w:t>五、绩效数据统计分析</w:t>
      </w:r>
    </w:p>
    <w:p w14:paraId="4839ED05">
      <w:pPr>
        <w:rPr>
          <w:rFonts w:hint="eastAsia" w:ascii="宋体" w:hAnsi="宋体" w:eastAsia="宋体" w:cs="宋体"/>
          <w:color w:val="auto"/>
          <w:szCs w:val="28"/>
        </w:rPr>
      </w:pPr>
      <w:r>
        <w:rPr>
          <w:rFonts w:ascii="宋体" w:hAnsi="宋体" w:eastAsia="宋体" w:cs="宋体"/>
          <w:color w:val="auto"/>
          <w:szCs w:val="28"/>
        </w:rPr>
        <w:t>（一）统计报表生成</w:t>
      </w:r>
    </w:p>
    <w:p w14:paraId="7215739C">
      <w:pPr>
        <w:ind w:firstLine="420"/>
        <w:rPr>
          <w:rFonts w:hint="eastAsia" w:ascii="宋体" w:hAnsi="宋体" w:eastAsia="宋体" w:cs="宋体"/>
          <w:color w:val="auto"/>
          <w:szCs w:val="28"/>
        </w:rPr>
      </w:pPr>
      <w:r>
        <w:rPr>
          <w:rFonts w:ascii="宋体" w:hAnsi="宋体" w:eastAsia="宋体" w:cs="宋体"/>
          <w:color w:val="auto"/>
          <w:szCs w:val="28"/>
        </w:rPr>
        <w:t>自动生成丰富多样的绩效统计报表，如机构绩效汇总表可直观展示各医疗机构的整体绩效情况，为管理决策提供数据支持。</w:t>
      </w:r>
    </w:p>
    <w:p w14:paraId="2693C257">
      <w:pPr>
        <w:rPr>
          <w:rFonts w:hint="eastAsia" w:ascii="宋体" w:hAnsi="宋体" w:eastAsia="宋体" w:cs="宋体"/>
          <w:color w:val="auto"/>
          <w:szCs w:val="28"/>
        </w:rPr>
      </w:pPr>
      <w:r>
        <w:rPr>
          <w:rFonts w:ascii="宋体" w:hAnsi="宋体" w:eastAsia="宋体" w:cs="宋体"/>
          <w:color w:val="auto"/>
          <w:szCs w:val="28"/>
        </w:rPr>
        <w:t>（二）数据可视化分析</w:t>
      </w:r>
    </w:p>
    <w:p w14:paraId="68E1BC5E">
      <w:pPr>
        <w:ind w:firstLine="420"/>
        <w:rPr>
          <w:rFonts w:hint="eastAsia" w:ascii="宋体" w:hAnsi="宋体" w:eastAsia="宋体" w:cs="宋体"/>
          <w:color w:val="auto"/>
          <w:szCs w:val="28"/>
        </w:rPr>
      </w:pPr>
      <w:r>
        <w:rPr>
          <w:rFonts w:ascii="宋体" w:hAnsi="宋体" w:eastAsia="宋体" w:cs="宋体"/>
          <w:color w:val="auto"/>
          <w:szCs w:val="28"/>
        </w:rPr>
        <w:t>具备数据可视化分析功能，通过柱状图、折线图、饼图等多种图表形式，清晰展示绩效数据的变化趋势、各指标的占比情况等，帮助管理者快速把握绩效状况，发现问题并及时调整管理策略。</w:t>
      </w:r>
    </w:p>
    <w:p w14:paraId="44FF5BCA">
      <w:pPr>
        <w:rPr>
          <w:rFonts w:hint="eastAsia" w:ascii="宋体" w:hAnsi="宋体" w:eastAsia="宋体" w:cs="宋体"/>
          <w:color w:val="auto"/>
          <w:szCs w:val="28"/>
        </w:rPr>
      </w:pPr>
      <w:r>
        <w:rPr>
          <w:rFonts w:ascii="宋体" w:hAnsi="宋体" w:eastAsia="宋体" w:cs="宋体"/>
          <w:color w:val="auto"/>
          <w:szCs w:val="28"/>
        </w:rPr>
        <w:t>六、系统管理</w:t>
      </w:r>
    </w:p>
    <w:p w14:paraId="00CDC3E0">
      <w:pPr>
        <w:rPr>
          <w:rFonts w:hint="eastAsia" w:ascii="宋体" w:hAnsi="宋体" w:eastAsia="宋体" w:cs="宋体"/>
          <w:color w:val="auto"/>
          <w:szCs w:val="28"/>
        </w:rPr>
      </w:pPr>
      <w:r>
        <w:rPr>
          <w:rFonts w:ascii="宋体" w:hAnsi="宋体" w:eastAsia="宋体" w:cs="宋体"/>
          <w:color w:val="auto"/>
          <w:szCs w:val="28"/>
        </w:rPr>
        <w:t>（一）用户权限管理</w:t>
      </w:r>
    </w:p>
    <w:p w14:paraId="1014AFB4">
      <w:pPr>
        <w:ind w:firstLine="420"/>
        <w:rPr>
          <w:rFonts w:hint="eastAsia" w:ascii="宋体" w:hAnsi="宋体" w:eastAsia="宋体" w:cs="宋体"/>
          <w:color w:val="auto"/>
          <w:szCs w:val="28"/>
        </w:rPr>
      </w:pPr>
      <w:r>
        <w:rPr>
          <w:rFonts w:ascii="宋体" w:hAnsi="宋体" w:eastAsia="宋体" w:cs="宋体"/>
          <w:color w:val="auto"/>
          <w:szCs w:val="28"/>
        </w:rPr>
        <w:t>采用精细化的用户权限管理机制，根据不同用户角色（如系统管理员、考核专员、医疗机构负责人等）设置不同的操作权限，确保只有授权人员才能进行相应操作，保障系统数据的安全性。</w:t>
      </w:r>
    </w:p>
    <w:p w14:paraId="04485AB7">
      <w:pPr>
        <w:rPr>
          <w:rFonts w:hint="eastAsia" w:ascii="宋体" w:hAnsi="宋体" w:eastAsia="宋体" w:cs="宋体"/>
          <w:color w:val="auto"/>
          <w:szCs w:val="28"/>
        </w:rPr>
      </w:pPr>
      <w:r>
        <w:rPr>
          <w:rFonts w:ascii="宋体" w:hAnsi="宋体" w:eastAsia="宋体" w:cs="宋体"/>
          <w:color w:val="auto"/>
          <w:szCs w:val="28"/>
        </w:rPr>
        <w:t>（二）操作日志管理</w:t>
      </w:r>
    </w:p>
    <w:p w14:paraId="36D6E73A">
      <w:pPr>
        <w:ind w:firstLine="420"/>
        <w:rPr>
          <w:rFonts w:hint="eastAsia" w:ascii="宋体" w:hAnsi="宋体" w:eastAsia="宋体" w:cs="宋体"/>
          <w:color w:val="auto"/>
          <w:szCs w:val="28"/>
        </w:rPr>
      </w:pPr>
      <w:r>
        <w:rPr>
          <w:rFonts w:ascii="宋体" w:hAnsi="宋体" w:eastAsia="宋体" w:cs="宋体"/>
          <w:color w:val="auto"/>
          <w:szCs w:val="28"/>
        </w:rPr>
        <w:t>完整记录系统的每一项操作日志，包括操作时间、操作人、操作内容等信息，便于在出现问题时追溯操作行为，保障系统运行的规范性与可追溯性。</w:t>
      </w:r>
    </w:p>
    <w:p w14:paraId="0C214745">
      <w:pPr>
        <w:pStyle w:val="3"/>
        <w:numPr>
          <w:ilvl w:val="0"/>
          <w:numId w:val="0"/>
        </w:numPr>
        <w:ind w:left="560" w:leftChars="200"/>
        <w:rPr>
          <w:color w:val="auto"/>
        </w:rPr>
      </w:pPr>
      <w:r>
        <w:rPr>
          <w:rFonts w:hint="eastAsia"/>
          <w:color w:val="auto"/>
        </w:rPr>
        <w:t>七、总院协同门诊的多科室设置</w:t>
      </w:r>
    </w:p>
    <w:p w14:paraId="1FEFBCA1">
      <w:pPr>
        <w:rPr>
          <w:color w:val="auto"/>
        </w:rPr>
      </w:pPr>
      <w:r>
        <w:rPr>
          <w:rFonts w:hint="eastAsia"/>
          <w:color w:val="auto"/>
        </w:rPr>
        <w:t>在医共体总院多个科室增设协同门诊，提供业务账号实现协同门诊相关功能，与一期协同门诊建设实现无缝对接。</w:t>
      </w:r>
    </w:p>
    <w:p w14:paraId="1331A4E9">
      <w:pPr>
        <w:pStyle w:val="3"/>
        <w:numPr>
          <w:ilvl w:val="0"/>
          <w:numId w:val="0"/>
        </w:numPr>
        <w:ind w:left="560" w:leftChars="200"/>
        <w:rPr>
          <w:color w:val="auto"/>
        </w:rPr>
      </w:pPr>
      <w:r>
        <w:rPr>
          <w:rFonts w:hint="eastAsia"/>
          <w:color w:val="auto"/>
        </w:rPr>
        <w:t>八、硬件部分要求</w:t>
      </w:r>
    </w:p>
    <w:p w14:paraId="737F27F6">
      <w:pPr>
        <w:rPr>
          <w:color w:val="auto"/>
        </w:rPr>
      </w:pPr>
      <w:r>
        <w:rPr>
          <w:rFonts w:hint="eastAsia" w:ascii="宋体" w:hAnsi="宋体" w:eastAsia="宋体" w:cs="宋体"/>
          <w:color w:val="auto"/>
          <w:szCs w:val="28"/>
        </w:rPr>
        <w:t>硬件为软件配套，主要应用于医共体</w:t>
      </w:r>
      <w:bookmarkStart w:id="15" w:name="OLE_LINK132"/>
      <w:r>
        <w:rPr>
          <w:rFonts w:hint="eastAsia" w:ascii="宋体" w:hAnsi="宋体" w:eastAsia="宋体" w:cs="宋体"/>
          <w:color w:val="auto"/>
          <w:szCs w:val="28"/>
        </w:rPr>
        <w:t>平台</w:t>
      </w:r>
      <w:bookmarkEnd w:id="15"/>
      <w:r>
        <w:rPr>
          <w:rFonts w:hint="eastAsia" w:ascii="宋体" w:hAnsi="宋体" w:eastAsia="宋体" w:cs="宋体"/>
          <w:color w:val="auto"/>
          <w:szCs w:val="28"/>
        </w:rPr>
        <w:t>运行，远程会诊等场景。</w:t>
      </w:r>
    </w:p>
    <w:p w14:paraId="5681A25D">
      <w:pPr>
        <w:pStyle w:val="4"/>
        <w:ind w:firstLineChars="0"/>
        <w:rPr>
          <w:color w:val="auto"/>
        </w:rPr>
      </w:pPr>
      <w:r>
        <w:rPr>
          <w:rFonts w:hint="eastAsia"/>
          <w:color w:val="auto"/>
        </w:rPr>
        <w:t>（一）高清摄像机 15台</w:t>
      </w:r>
    </w:p>
    <w:p w14:paraId="6F8EDCE8">
      <w:pPr>
        <w:pStyle w:val="2"/>
        <w:ind w:firstLine="482" w:firstLineChars="200"/>
        <w:rPr>
          <w:rFonts w:hint="eastAsia" w:ascii="宋体" w:hAnsi="宋体" w:eastAsia="宋体" w:cs="宋体"/>
          <w:color w:val="auto"/>
          <w:sz w:val="28"/>
          <w:szCs w:val="28"/>
        </w:rPr>
      </w:pPr>
      <w:r>
        <w:rPr>
          <w:rFonts w:hint="eastAsia" w:ascii="宋体" w:hAnsi="宋体" w:eastAsia="宋体" w:cs="宋体"/>
          <w:b/>
          <w:bCs/>
          <w:color w:val="auto"/>
          <w:szCs w:val="28"/>
        </w:rPr>
        <w:t>▲</w:t>
      </w:r>
      <w:r>
        <w:rPr>
          <w:rFonts w:hint="eastAsia" w:ascii="宋体" w:hAnsi="宋体" w:eastAsia="宋体" w:cs="宋体"/>
          <w:color w:val="auto"/>
          <w:sz w:val="28"/>
          <w:szCs w:val="28"/>
        </w:rPr>
        <w:t>4K（宽动态）CMOS，</w:t>
      </w:r>
    </w:p>
    <w:p w14:paraId="15ABD09C">
      <w:pPr>
        <w:pStyle w:val="2"/>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图像清晰、细腻，最高分辨率≥2160×3840</w:t>
      </w:r>
    </w:p>
    <w:p w14:paraId="5DC7D4D8">
      <w:pPr>
        <w:pStyle w:val="2"/>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采用5.8 mm~46.4 mm变焦低畸变镜头，自动聚焦，8倍光学变倍，4倍数字变倍</w:t>
      </w:r>
    </w:p>
    <w:p w14:paraId="0A5851F4">
      <w:pPr>
        <w:pStyle w:val="2"/>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支持ToF辅助聚焦，疾速聚焦</w:t>
      </w:r>
    </w:p>
    <w:p w14:paraId="1C7E8454">
      <w:pPr>
        <w:pStyle w:val="2"/>
        <w:ind w:firstLine="482" w:firstLineChars="200"/>
        <w:rPr>
          <w:rFonts w:hint="eastAsia" w:ascii="宋体" w:hAnsi="宋体" w:eastAsia="宋体" w:cs="宋体"/>
          <w:color w:val="auto"/>
          <w:sz w:val="28"/>
          <w:szCs w:val="28"/>
        </w:rPr>
      </w:pPr>
      <w:r>
        <w:rPr>
          <w:rFonts w:hint="eastAsia" w:ascii="宋体" w:hAnsi="宋体" w:eastAsia="宋体" w:cs="宋体"/>
          <w:b/>
          <w:bCs/>
          <w:color w:val="auto"/>
          <w:szCs w:val="28"/>
        </w:rPr>
        <w:t>▲</w:t>
      </w:r>
      <w:r>
        <w:rPr>
          <w:rFonts w:hint="eastAsia" w:ascii="宋体" w:hAnsi="宋体" w:eastAsia="宋体" w:cs="宋体"/>
          <w:color w:val="auto"/>
          <w:sz w:val="28"/>
          <w:szCs w:val="28"/>
        </w:rPr>
        <w:t>支持人脸聚焦智能功能</w:t>
      </w:r>
    </w:p>
    <w:p w14:paraId="7E1EBF0E">
      <w:pPr>
        <w:pStyle w:val="2"/>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支持电子云台，在画面范围内移动选择目标物体</w:t>
      </w:r>
    </w:p>
    <w:p w14:paraId="5CB4F908">
      <w:pPr>
        <w:pStyle w:val="2"/>
        <w:ind w:firstLine="482" w:firstLineChars="200"/>
        <w:rPr>
          <w:rFonts w:hint="eastAsia" w:ascii="宋体" w:hAnsi="宋体" w:eastAsia="宋体" w:cs="宋体"/>
          <w:color w:val="auto"/>
          <w:sz w:val="28"/>
          <w:szCs w:val="28"/>
        </w:rPr>
      </w:pPr>
      <w:r>
        <w:rPr>
          <w:rFonts w:hint="eastAsia" w:ascii="宋体" w:hAnsi="宋体" w:eastAsia="宋体" w:cs="宋体"/>
          <w:b/>
          <w:bCs/>
          <w:color w:val="auto"/>
          <w:szCs w:val="28"/>
        </w:rPr>
        <w:t>▲</w:t>
      </w:r>
      <w:r>
        <w:rPr>
          <w:rFonts w:hint="eastAsia" w:ascii="宋体" w:hAnsi="宋体" w:eastAsia="宋体" w:cs="宋体"/>
          <w:color w:val="auto"/>
          <w:sz w:val="28"/>
          <w:szCs w:val="28"/>
        </w:rPr>
        <w:t>内置双麦克风，支持降噪算法，拾音清晰</w:t>
      </w:r>
    </w:p>
    <w:p w14:paraId="73271A7D">
      <w:pPr>
        <w:pStyle w:val="2"/>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支持遥控器调节相关参数。支持≥3个自定义场景设置</w:t>
      </w:r>
    </w:p>
    <w:p w14:paraId="1CA45503">
      <w:pPr>
        <w:pStyle w:val="2"/>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支持Type C接口（正反插设计），标准USB3.0协议，免驱设计，即插即用。支持HDMI接口进行画面预览</w:t>
      </w:r>
    </w:p>
    <w:p w14:paraId="6E0DB271">
      <w:pPr>
        <w:pStyle w:val="2"/>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兼容多个主流直播软件</w:t>
      </w:r>
    </w:p>
    <w:p w14:paraId="7A8562FA">
      <w:pPr>
        <w:pStyle w:val="2"/>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传感器类型：1/2.8" 4K CMOS</w:t>
      </w:r>
    </w:p>
    <w:p w14:paraId="2FBBAEEB">
      <w:pPr>
        <w:pStyle w:val="2"/>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最高分辨率：≥2160 × 3840</w:t>
      </w:r>
    </w:p>
    <w:p w14:paraId="2C678AD0">
      <w:pPr>
        <w:pStyle w:val="2"/>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镜头：变焦≥：5.8 mm~46.4 mm，等效焦距≥</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39.4 mm~315.2 mm</w:t>
      </w:r>
    </w:p>
    <w:p w14:paraId="2EACB285">
      <w:pPr>
        <w:pStyle w:val="2"/>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视场角：水平≥：29.4°~3.6°；垂直≥：51.9°~6.5°；对角线≥：59.3°~7.4°</w:t>
      </w:r>
    </w:p>
    <w:p w14:paraId="06C5BD8D">
      <w:pPr>
        <w:pStyle w:val="2"/>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可聚清物距：W端：0.1 m~∞</w:t>
      </w:r>
    </w:p>
    <w:p w14:paraId="40C7C1E6">
      <w:pPr>
        <w:pStyle w:val="2"/>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T端：0.5 m~∞</w:t>
      </w:r>
    </w:p>
    <w:p w14:paraId="7563B4BE">
      <w:pPr>
        <w:pStyle w:val="2"/>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 xml:space="preserve">宽动态范围：≥120 dB </w:t>
      </w:r>
    </w:p>
    <w:p w14:paraId="4139A6AA">
      <w:pPr>
        <w:pStyle w:val="2"/>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麦克风类型：驻极体</w:t>
      </w:r>
    </w:p>
    <w:p w14:paraId="5013466C">
      <w:pPr>
        <w:pStyle w:val="2"/>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指向性：全向</w:t>
      </w:r>
    </w:p>
    <w:p w14:paraId="68584A40">
      <w:pPr>
        <w:pStyle w:val="2"/>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拾音范围≥：半径3 m</w:t>
      </w:r>
    </w:p>
    <w:p w14:paraId="33739286">
      <w:pPr>
        <w:pStyle w:val="2"/>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阵列数量：双mic</w:t>
      </w:r>
    </w:p>
    <w:p w14:paraId="4D1708A9">
      <w:pPr>
        <w:pStyle w:val="2"/>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频响范围≥：100 Hz~8 kHz</w:t>
      </w:r>
    </w:p>
    <w:p w14:paraId="21EB8617">
      <w:pPr>
        <w:pStyle w:val="2"/>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灵敏度≥：-32 ± 3 dBV/Pa</w:t>
      </w:r>
    </w:p>
    <w:p w14:paraId="6CCC5B2A">
      <w:pPr>
        <w:pStyle w:val="2"/>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信噪比≥：70 dB（A）</w:t>
      </w:r>
    </w:p>
    <w:p w14:paraId="4AA15EE1">
      <w:pPr>
        <w:pStyle w:val="2"/>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 xml:space="preserve">采样率≥：16 kHz/32 kHz/48 kHz </w:t>
      </w:r>
    </w:p>
    <w:p w14:paraId="7EF1BBB1">
      <w:pPr>
        <w:pStyle w:val="2"/>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图像功能：支持图像设置，包括支持图像模式、曝光、白平衡、图像降噪、对比度、锐化、饱和度、色调、Gamma等参数的调整</w:t>
      </w:r>
    </w:p>
    <w:p w14:paraId="5CA78AE3">
      <w:pPr>
        <w:pStyle w:val="2"/>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音频功能：支持智能降噪算法，自动增益控制、人声增强，保证通话/音频质量</w:t>
      </w:r>
    </w:p>
    <w:p w14:paraId="762B29B1">
      <w:pPr>
        <w:pStyle w:val="2"/>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智能功能：支持人像聚焦智能功能</w:t>
      </w:r>
    </w:p>
    <w:p w14:paraId="6706044B">
      <w:pPr>
        <w:pStyle w:val="2"/>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 xml:space="preserve">聚焦模式：自动/半自动模式，支持聚焦区域选择 </w:t>
      </w:r>
    </w:p>
    <w:p w14:paraId="1556B84D">
      <w:pPr>
        <w:pStyle w:val="2"/>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通信方式：摄像机和遥控器：2.4G无线</w:t>
      </w:r>
    </w:p>
    <w:p w14:paraId="09B6C43D">
      <w:pPr>
        <w:pStyle w:val="2"/>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 xml:space="preserve">无线通信距离≥：摄像机和遥控器：10米 </w:t>
      </w:r>
    </w:p>
    <w:p w14:paraId="672A8BBF">
      <w:pPr>
        <w:pStyle w:val="2"/>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 xml:space="preserve">USB接口：≥1×USB Type C接口（传输视音频），支持USB3.0协议、高清接口：≥1×HDMI接口（支持视频传输、支持内置mic和line in的音频传输），支持HDMI1.4协议、音频接口：≥1路line in（音频输入），3.5 mm三段式TRS接口、电源接口：≥1×DC 12V Ø2.1 mm圆口 </w:t>
      </w:r>
    </w:p>
    <w:p w14:paraId="0332D764">
      <w:pPr>
        <w:pStyle w:val="2"/>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工作温度和湿度：工作温度-10 ℃~45 ℃，湿度小于90%（无凝结）</w:t>
      </w:r>
    </w:p>
    <w:p w14:paraId="432C465A">
      <w:pPr>
        <w:pStyle w:val="4"/>
        <w:numPr>
          <w:ilvl w:val="0"/>
          <w:numId w:val="4"/>
        </w:numPr>
        <w:rPr>
          <w:color w:val="auto"/>
        </w:rPr>
      </w:pPr>
      <w:r>
        <w:rPr>
          <w:rFonts w:hint="eastAsia"/>
          <w:color w:val="auto"/>
        </w:rPr>
        <w:t>黑白激光多功能一体机 1台</w:t>
      </w:r>
    </w:p>
    <w:p w14:paraId="5AB4EC55">
      <w:pPr>
        <w:pStyle w:val="2"/>
        <w:ind w:firstLine="560" w:firstLineChars="200"/>
        <w:rPr>
          <w:rFonts w:hint="eastAsia" w:ascii="宋体" w:hAnsi="宋体" w:eastAsia="宋体" w:cs="宋体"/>
          <w:color w:val="auto"/>
          <w:sz w:val="28"/>
          <w:szCs w:val="28"/>
        </w:rPr>
      </w:pPr>
      <w:r>
        <w:rPr>
          <w:rFonts w:ascii="宋体" w:hAnsi="宋体" w:eastAsia="宋体" w:cs="宋体"/>
          <w:color w:val="auto"/>
          <w:sz w:val="28"/>
          <w:szCs w:val="28"/>
        </w:rPr>
        <w:t>产品功能：打印/扫描/复印</w:t>
      </w:r>
    </w:p>
    <w:p w14:paraId="35EBDB2F">
      <w:pPr>
        <w:ind w:firstLine="562" w:firstLineChars="200"/>
        <w:rPr>
          <w:rFonts w:hint="eastAsia" w:ascii="宋体" w:hAnsi="宋体" w:eastAsia="宋体" w:cs="宋体"/>
          <w:color w:val="auto"/>
          <w:szCs w:val="28"/>
        </w:rPr>
      </w:pPr>
      <w:r>
        <w:rPr>
          <w:rFonts w:hint="eastAsia" w:ascii="宋体" w:hAnsi="宋体" w:eastAsia="宋体" w:cs="宋体"/>
          <w:b/>
          <w:bCs/>
          <w:color w:val="auto"/>
          <w:szCs w:val="28"/>
        </w:rPr>
        <w:t>▲</w:t>
      </w:r>
      <w:r>
        <w:rPr>
          <w:rFonts w:hint="eastAsia" w:ascii="宋体" w:hAnsi="宋体" w:eastAsia="宋体" w:cs="宋体"/>
          <w:color w:val="auto"/>
          <w:szCs w:val="28"/>
        </w:rPr>
        <w:t>打印速度（A4）：</w:t>
      </w:r>
      <w:r>
        <w:rPr>
          <w:rFonts w:hint="eastAsia" w:ascii="宋体" w:hAnsi="宋体" w:eastAsia="宋体" w:cs="宋体"/>
          <w:color w:val="auto"/>
          <w:sz w:val="28"/>
          <w:szCs w:val="28"/>
        </w:rPr>
        <w:t>≥</w:t>
      </w:r>
      <w:r>
        <w:rPr>
          <w:rFonts w:hint="eastAsia" w:ascii="宋体" w:hAnsi="宋体" w:eastAsia="宋体" w:cs="宋体"/>
          <w:color w:val="auto"/>
          <w:szCs w:val="28"/>
        </w:rPr>
        <w:t>25页/分钟</w:t>
      </w:r>
    </w:p>
    <w:p w14:paraId="0EF1AB3E">
      <w:pPr>
        <w:pStyle w:val="2"/>
        <w:ind w:firstLine="482" w:firstLineChars="200"/>
        <w:rPr>
          <w:rFonts w:hint="eastAsia"/>
          <w:color w:val="auto"/>
        </w:rPr>
      </w:pPr>
      <w:r>
        <w:rPr>
          <w:rFonts w:hint="eastAsia" w:ascii="宋体" w:hAnsi="宋体" w:eastAsia="宋体" w:cs="宋体"/>
          <w:b/>
          <w:bCs/>
          <w:color w:val="auto"/>
          <w:szCs w:val="28"/>
        </w:rPr>
        <w:t>▲</w:t>
      </w:r>
      <w:r>
        <w:rPr>
          <w:rFonts w:ascii="宋体" w:hAnsi="宋体" w:eastAsia="宋体" w:cs="宋体"/>
          <w:color w:val="auto"/>
          <w:sz w:val="28"/>
          <w:szCs w:val="28"/>
        </w:rPr>
        <w:t>打印内存：</w:t>
      </w:r>
      <w:r>
        <w:rPr>
          <w:rFonts w:hint="eastAsia" w:ascii="宋体" w:hAnsi="宋体" w:eastAsia="宋体" w:cs="宋体"/>
          <w:color w:val="auto"/>
          <w:sz w:val="28"/>
          <w:szCs w:val="28"/>
        </w:rPr>
        <w:t>≥</w:t>
      </w:r>
      <w:r>
        <w:rPr>
          <w:rFonts w:ascii="宋体" w:hAnsi="宋体" w:eastAsia="宋体" w:cs="宋体"/>
          <w:color w:val="auto"/>
          <w:sz w:val="28"/>
          <w:szCs w:val="28"/>
        </w:rPr>
        <w:t>128MB</w:t>
      </w:r>
    </w:p>
    <w:p w14:paraId="5DAD4CC3">
      <w:pPr>
        <w:ind w:firstLine="560" w:firstLineChars="200"/>
        <w:rPr>
          <w:rFonts w:hint="eastAsia" w:ascii="宋体" w:hAnsi="宋体" w:eastAsia="宋体" w:cs="宋体"/>
          <w:color w:val="auto"/>
          <w:szCs w:val="28"/>
        </w:rPr>
      </w:pPr>
      <w:r>
        <w:rPr>
          <w:rFonts w:hint="eastAsia" w:ascii="宋体" w:hAnsi="宋体" w:eastAsia="宋体" w:cs="宋体"/>
          <w:color w:val="auto"/>
          <w:szCs w:val="28"/>
        </w:rPr>
        <w:t>双面打印：自动双面</w:t>
      </w:r>
    </w:p>
    <w:p w14:paraId="19D1910B">
      <w:pPr>
        <w:pStyle w:val="2"/>
        <w:ind w:firstLine="560" w:firstLineChars="200"/>
        <w:rPr>
          <w:rFonts w:hint="eastAsia" w:ascii="宋体" w:hAnsi="宋体" w:eastAsia="宋体" w:cs="宋体"/>
          <w:color w:val="auto"/>
          <w:sz w:val="28"/>
          <w:szCs w:val="28"/>
        </w:rPr>
      </w:pPr>
      <w:r>
        <w:rPr>
          <w:rFonts w:ascii="宋体" w:hAnsi="宋体" w:eastAsia="宋体" w:cs="宋体"/>
          <w:color w:val="auto"/>
          <w:sz w:val="28"/>
          <w:szCs w:val="28"/>
        </w:rPr>
        <w:t>打印分辨率：</w:t>
      </w:r>
      <w:bookmarkStart w:id="16" w:name="OLE_LINK4"/>
      <w:r>
        <w:rPr>
          <w:rFonts w:hint="eastAsia" w:ascii="宋体" w:hAnsi="宋体" w:eastAsia="宋体" w:cs="宋体"/>
          <w:color w:val="auto"/>
          <w:sz w:val="28"/>
          <w:szCs w:val="28"/>
        </w:rPr>
        <w:t>≥</w:t>
      </w:r>
      <w:r>
        <w:rPr>
          <w:rFonts w:ascii="宋体" w:hAnsi="宋体" w:eastAsia="宋体" w:cs="宋体"/>
          <w:color w:val="auto"/>
          <w:sz w:val="28"/>
          <w:szCs w:val="28"/>
        </w:rPr>
        <w:t>600×600dpi</w:t>
      </w:r>
      <w:bookmarkEnd w:id="16"/>
    </w:p>
    <w:p w14:paraId="191FEC84">
      <w:pPr>
        <w:ind w:firstLine="560" w:firstLineChars="200"/>
        <w:rPr>
          <w:rFonts w:hint="eastAsia" w:ascii="宋体" w:hAnsi="宋体" w:eastAsia="宋体" w:cs="宋体"/>
          <w:color w:val="auto"/>
          <w:szCs w:val="28"/>
        </w:rPr>
      </w:pPr>
      <w:r>
        <w:rPr>
          <w:rFonts w:hint="eastAsia" w:ascii="宋体" w:hAnsi="宋体" w:eastAsia="宋体" w:cs="宋体"/>
          <w:color w:val="auto"/>
          <w:szCs w:val="28"/>
        </w:rPr>
        <w:t>耗材印量：</w:t>
      </w:r>
      <w:r>
        <w:rPr>
          <w:rFonts w:hint="eastAsia" w:ascii="宋体" w:hAnsi="宋体" w:eastAsia="宋体" w:cs="宋体"/>
          <w:color w:val="auto"/>
          <w:sz w:val="28"/>
          <w:szCs w:val="28"/>
        </w:rPr>
        <w:t>≥</w:t>
      </w:r>
      <w:r>
        <w:rPr>
          <w:rFonts w:hint="eastAsia" w:ascii="宋体" w:hAnsi="宋体" w:eastAsia="宋体" w:cs="宋体"/>
          <w:color w:val="auto"/>
          <w:szCs w:val="28"/>
        </w:rPr>
        <w:t>2,000页</w:t>
      </w:r>
    </w:p>
    <w:p w14:paraId="5873CA28">
      <w:pPr>
        <w:ind w:firstLine="560" w:firstLineChars="200"/>
        <w:rPr>
          <w:rFonts w:hint="eastAsia" w:ascii="宋体" w:hAnsi="宋体" w:eastAsia="宋体" w:cs="宋体"/>
          <w:color w:val="auto"/>
          <w:szCs w:val="28"/>
        </w:rPr>
      </w:pPr>
      <w:r>
        <w:rPr>
          <w:rFonts w:hint="eastAsia" w:ascii="宋体" w:hAnsi="宋体" w:eastAsia="宋体" w:cs="宋体"/>
          <w:color w:val="auto"/>
          <w:szCs w:val="28"/>
        </w:rPr>
        <w:t>纸盒容量：</w:t>
      </w:r>
      <w:r>
        <w:rPr>
          <w:rFonts w:hint="eastAsia" w:ascii="宋体" w:hAnsi="宋体" w:eastAsia="宋体" w:cs="宋体"/>
          <w:color w:val="auto"/>
          <w:sz w:val="28"/>
          <w:szCs w:val="28"/>
        </w:rPr>
        <w:t>≥</w:t>
      </w:r>
      <w:r>
        <w:rPr>
          <w:rFonts w:hint="eastAsia" w:ascii="宋体" w:hAnsi="宋体" w:eastAsia="宋体" w:cs="宋体"/>
          <w:color w:val="auto"/>
          <w:szCs w:val="28"/>
        </w:rPr>
        <w:t>150页</w:t>
      </w:r>
    </w:p>
    <w:p w14:paraId="321E1075">
      <w:pPr>
        <w:ind w:firstLine="560" w:firstLineChars="200"/>
        <w:rPr>
          <w:rFonts w:hint="eastAsia" w:ascii="宋体" w:hAnsi="宋体" w:eastAsia="宋体" w:cs="宋体"/>
          <w:color w:val="auto"/>
          <w:szCs w:val="28"/>
        </w:rPr>
      </w:pPr>
      <w:r>
        <w:rPr>
          <w:rFonts w:hint="eastAsia" w:ascii="宋体" w:hAnsi="宋体" w:eastAsia="宋体" w:cs="宋体"/>
          <w:color w:val="auto"/>
          <w:szCs w:val="28"/>
        </w:rPr>
        <w:t>出纸盘容量：</w:t>
      </w:r>
      <w:r>
        <w:rPr>
          <w:rFonts w:hint="eastAsia" w:ascii="宋体" w:hAnsi="宋体" w:eastAsia="宋体" w:cs="宋体"/>
          <w:color w:val="auto"/>
          <w:sz w:val="28"/>
          <w:szCs w:val="28"/>
        </w:rPr>
        <w:t>≥</w:t>
      </w:r>
      <w:r>
        <w:rPr>
          <w:rFonts w:hint="eastAsia" w:ascii="宋体" w:hAnsi="宋体" w:eastAsia="宋体" w:cs="宋体"/>
          <w:color w:val="auto"/>
          <w:szCs w:val="28"/>
        </w:rPr>
        <w:t>100页</w:t>
      </w:r>
    </w:p>
    <w:p w14:paraId="6F7A3507">
      <w:pPr>
        <w:ind w:firstLine="560" w:firstLineChars="200"/>
        <w:rPr>
          <w:rFonts w:hint="eastAsia" w:ascii="宋体" w:hAnsi="宋体" w:eastAsia="宋体" w:cs="宋体"/>
          <w:color w:val="auto"/>
          <w:szCs w:val="28"/>
        </w:rPr>
      </w:pPr>
      <w:r>
        <w:rPr>
          <w:rFonts w:hint="eastAsia" w:ascii="宋体" w:hAnsi="宋体" w:eastAsia="宋体" w:cs="宋体"/>
          <w:color w:val="auto"/>
          <w:szCs w:val="28"/>
        </w:rPr>
        <w:t>介质幅面：A4</w:t>
      </w:r>
    </w:p>
    <w:p w14:paraId="05A20E53">
      <w:pPr>
        <w:ind w:firstLine="560" w:firstLineChars="200"/>
        <w:rPr>
          <w:rFonts w:hint="eastAsia" w:ascii="宋体" w:hAnsi="宋体" w:eastAsia="宋体" w:cs="宋体"/>
          <w:color w:val="auto"/>
          <w:szCs w:val="28"/>
        </w:rPr>
      </w:pPr>
      <w:r>
        <w:rPr>
          <w:rFonts w:hint="eastAsia" w:ascii="宋体" w:hAnsi="宋体" w:eastAsia="宋体" w:cs="宋体"/>
          <w:color w:val="auto"/>
          <w:szCs w:val="28"/>
        </w:rPr>
        <w:t>扫描类型：自动输稿器</w:t>
      </w:r>
    </w:p>
    <w:p w14:paraId="747375FF">
      <w:pPr>
        <w:ind w:firstLine="560" w:firstLineChars="200"/>
        <w:rPr>
          <w:rFonts w:hint="eastAsia" w:ascii="宋体" w:hAnsi="宋体" w:eastAsia="宋体" w:cs="宋体"/>
          <w:color w:val="auto"/>
          <w:szCs w:val="28"/>
        </w:rPr>
      </w:pPr>
      <w:r>
        <w:rPr>
          <w:rFonts w:hint="eastAsia" w:ascii="宋体" w:hAnsi="宋体" w:eastAsia="宋体" w:cs="宋体"/>
          <w:color w:val="auto"/>
          <w:szCs w:val="28"/>
        </w:rPr>
        <w:t>ADF容量：</w:t>
      </w:r>
      <w:r>
        <w:rPr>
          <w:rFonts w:hint="eastAsia" w:ascii="宋体" w:hAnsi="宋体" w:eastAsia="宋体" w:cs="宋体"/>
          <w:color w:val="auto"/>
          <w:sz w:val="28"/>
          <w:szCs w:val="28"/>
        </w:rPr>
        <w:t>≥</w:t>
      </w:r>
      <w:r>
        <w:rPr>
          <w:rFonts w:hint="eastAsia" w:ascii="宋体" w:hAnsi="宋体" w:eastAsia="宋体" w:cs="宋体"/>
          <w:color w:val="auto"/>
          <w:szCs w:val="28"/>
        </w:rPr>
        <w:t>35页</w:t>
      </w:r>
    </w:p>
    <w:p w14:paraId="2F3A0E5F">
      <w:pPr>
        <w:ind w:firstLine="560" w:firstLineChars="200"/>
        <w:rPr>
          <w:rFonts w:hint="eastAsia" w:ascii="宋体" w:hAnsi="宋体" w:eastAsia="宋体" w:cs="宋体"/>
          <w:color w:val="auto"/>
          <w:szCs w:val="28"/>
        </w:rPr>
      </w:pPr>
      <w:r>
        <w:rPr>
          <w:rFonts w:hint="eastAsia" w:ascii="宋体" w:hAnsi="宋体" w:eastAsia="宋体" w:cs="宋体"/>
          <w:color w:val="auto"/>
          <w:szCs w:val="28"/>
        </w:rPr>
        <w:t>最大扫描分辨率：</w:t>
      </w:r>
      <w:r>
        <w:rPr>
          <w:rFonts w:hint="eastAsia" w:ascii="宋体" w:hAnsi="宋体" w:eastAsia="宋体" w:cs="宋体"/>
          <w:color w:val="auto"/>
          <w:sz w:val="28"/>
          <w:szCs w:val="28"/>
        </w:rPr>
        <w:t>≥</w:t>
      </w:r>
      <w:r>
        <w:rPr>
          <w:rFonts w:ascii="宋体" w:hAnsi="宋体" w:eastAsia="宋体" w:cs="宋体"/>
          <w:color w:val="auto"/>
          <w:szCs w:val="28"/>
        </w:rPr>
        <w:t>600×600dpi</w:t>
      </w:r>
    </w:p>
    <w:p w14:paraId="780CEDEA">
      <w:pPr>
        <w:ind w:firstLine="560" w:firstLineChars="200"/>
        <w:rPr>
          <w:rFonts w:hint="eastAsia" w:ascii="宋体" w:hAnsi="宋体" w:eastAsia="宋体" w:cs="宋体"/>
          <w:color w:val="auto"/>
          <w:szCs w:val="28"/>
        </w:rPr>
      </w:pPr>
      <w:r>
        <w:rPr>
          <w:rFonts w:hint="eastAsia" w:ascii="宋体" w:hAnsi="宋体" w:eastAsia="宋体" w:cs="宋体"/>
          <w:color w:val="auto"/>
          <w:szCs w:val="28"/>
        </w:rPr>
        <w:t>兼容操作系统：Windows、麒麟系统、统信系统</w:t>
      </w:r>
    </w:p>
    <w:p w14:paraId="5EE786A5">
      <w:pPr>
        <w:ind w:firstLine="560" w:firstLineChars="200"/>
        <w:rPr>
          <w:rFonts w:hint="eastAsia" w:ascii="宋体" w:hAnsi="宋体" w:eastAsia="宋体" w:cs="宋体"/>
          <w:color w:val="auto"/>
          <w:szCs w:val="28"/>
        </w:rPr>
      </w:pPr>
      <w:r>
        <w:rPr>
          <w:rFonts w:hint="eastAsia" w:ascii="宋体" w:hAnsi="宋体" w:eastAsia="宋体" w:cs="宋体"/>
          <w:color w:val="auto"/>
          <w:szCs w:val="28"/>
        </w:rPr>
        <w:t>标准接口：USB2.0接口、无线802.11b/g/n</w:t>
      </w:r>
    </w:p>
    <w:p w14:paraId="0381C8BA">
      <w:pPr>
        <w:pStyle w:val="2"/>
        <w:ind w:firstLine="560" w:firstLineChars="200"/>
        <w:rPr>
          <w:rFonts w:hint="eastAsia" w:ascii="宋体" w:hAnsi="宋体" w:eastAsia="宋体" w:cs="宋体"/>
          <w:color w:val="auto"/>
          <w:sz w:val="28"/>
          <w:szCs w:val="28"/>
        </w:rPr>
      </w:pPr>
      <w:r>
        <w:rPr>
          <w:rFonts w:ascii="宋体" w:hAnsi="宋体" w:eastAsia="宋体" w:cs="宋体"/>
          <w:color w:val="auto"/>
          <w:sz w:val="28"/>
          <w:szCs w:val="28"/>
        </w:rPr>
        <w:t>最大页面：A4</w:t>
      </w:r>
    </w:p>
    <w:p w14:paraId="2FD37A6F">
      <w:pPr>
        <w:pStyle w:val="4"/>
        <w:numPr>
          <w:ilvl w:val="0"/>
          <w:numId w:val="4"/>
        </w:numPr>
        <w:rPr>
          <w:color w:val="auto"/>
        </w:rPr>
      </w:pPr>
      <w:r>
        <w:rPr>
          <w:rFonts w:hint="eastAsia"/>
          <w:color w:val="auto"/>
        </w:rPr>
        <w:t>电脑</w:t>
      </w:r>
      <w:r>
        <w:rPr>
          <w:rFonts w:hint="eastAsia"/>
          <w:color w:val="auto"/>
          <w:lang w:val="en-US" w:eastAsia="zh-CN"/>
        </w:rPr>
        <w:t xml:space="preserve"> 14台</w:t>
      </w:r>
    </w:p>
    <w:p w14:paraId="2FCFE0C6">
      <w:pPr>
        <w:spacing w:line="360" w:lineRule="auto"/>
        <w:ind w:firstLine="560" w:firstLineChars="200"/>
        <w:rPr>
          <w:rFonts w:hint="eastAsia" w:ascii="宋体" w:hAnsi="宋体" w:eastAsia="宋体" w:cs="宋体"/>
          <w:color w:val="auto"/>
          <w:szCs w:val="28"/>
        </w:rPr>
      </w:pPr>
      <w:bookmarkStart w:id="17" w:name="OLE_LINK1"/>
      <w:r>
        <w:rPr>
          <w:rFonts w:hint="eastAsia" w:ascii="宋体" w:hAnsi="宋体" w:eastAsia="宋体" w:cs="宋体"/>
          <w:color w:val="auto"/>
          <w:szCs w:val="28"/>
        </w:rPr>
        <w:t>1、机型:分体式商用台式机;</w:t>
      </w:r>
    </w:p>
    <w:p w14:paraId="687A6777">
      <w:pPr>
        <w:spacing w:line="360" w:lineRule="auto"/>
        <w:ind w:firstLine="562" w:firstLineChars="200"/>
        <w:rPr>
          <w:rFonts w:hint="eastAsia" w:ascii="宋体" w:hAnsi="宋体" w:eastAsia="宋体" w:cs="宋体"/>
          <w:color w:val="auto"/>
          <w:szCs w:val="28"/>
        </w:rPr>
      </w:pPr>
      <w:r>
        <w:rPr>
          <w:rFonts w:hint="eastAsia" w:ascii="宋体" w:hAnsi="宋体" w:eastAsia="宋体" w:cs="宋体"/>
          <w:b/>
          <w:bCs/>
          <w:color w:val="auto"/>
          <w:szCs w:val="28"/>
        </w:rPr>
        <w:t>▲</w:t>
      </w:r>
      <w:r>
        <w:rPr>
          <w:rFonts w:hint="eastAsia" w:ascii="宋体" w:hAnsi="宋体" w:eastAsia="宋体" w:cs="宋体"/>
          <w:color w:val="auto"/>
          <w:szCs w:val="28"/>
        </w:rPr>
        <w:t>2、处理器:≥12代i5处理器;6核12线程，主频2.5GHz，睿频最高4.4GHz，</w:t>
      </w:r>
      <w:r>
        <w:rPr>
          <w:rFonts w:hint="eastAsia" w:ascii="宋体" w:hAnsi="宋体" w:eastAsia="宋体" w:cs="宋体"/>
          <w:color w:val="auto"/>
          <w:szCs w:val="28"/>
          <w:lang w:eastAsia="zh-CN"/>
        </w:rPr>
        <w:t>速度</w:t>
      </w:r>
      <w:r>
        <w:rPr>
          <w:rFonts w:hint="eastAsia" w:ascii="宋体" w:hAnsi="宋体" w:eastAsia="宋体" w:cs="宋体"/>
          <w:color w:val="auto"/>
          <w:szCs w:val="28"/>
        </w:rPr>
        <w:t>≥18MB三级缓存、65W功耗</w:t>
      </w:r>
    </w:p>
    <w:p w14:paraId="55320F38">
      <w:pPr>
        <w:spacing w:line="360" w:lineRule="auto"/>
        <w:ind w:firstLine="562" w:firstLineChars="200"/>
        <w:rPr>
          <w:rFonts w:hint="eastAsia" w:ascii="宋体" w:hAnsi="宋体" w:eastAsia="宋体" w:cs="宋体"/>
          <w:color w:val="auto"/>
          <w:szCs w:val="28"/>
          <w:highlight w:val="red"/>
          <w:lang w:eastAsia="zh-CN"/>
        </w:rPr>
      </w:pPr>
      <w:r>
        <w:rPr>
          <w:rFonts w:hint="eastAsia" w:ascii="宋体" w:hAnsi="宋体" w:eastAsia="宋体" w:cs="宋体"/>
          <w:b/>
          <w:bCs/>
          <w:color w:val="auto"/>
          <w:szCs w:val="28"/>
        </w:rPr>
        <w:t>▲</w:t>
      </w:r>
      <w:r>
        <w:rPr>
          <w:rFonts w:hint="eastAsia" w:ascii="宋体" w:hAnsi="宋体" w:eastAsia="宋体" w:cs="宋体"/>
          <w:color w:val="auto"/>
          <w:szCs w:val="28"/>
        </w:rPr>
        <w:t>3、主板:≥ B760芯片组主板;具备智能温控系统，根据运行应用软件的负载等级和设备温度确定风扇转速优化计算机使用寿命及功耗。</w:t>
      </w:r>
    </w:p>
    <w:p w14:paraId="5FDE9143">
      <w:pPr>
        <w:spacing w:line="360" w:lineRule="auto"/>
        <w:ind w:firstLine="562" w:firstLineChars="200"/>
        <w:rPr>
          <w:rFonts w:hint="eastAsia" w:ascii="宋体" w:hAnsi="宋体" w:eastAsia="宋体" w:cs="宋体"/>
          <w:color w:val="auto"/>
          <w:szCs w:val="28"/>
          <w:highlight w:val="none"/>
          <w:lang w:eastAsia="zh-CN"/>
        </w:rPr>
      </w:pPr>
      <w:r>
        <w:rPr>
          <w:rFonts w:hint="eastAsia" w:ascii="宋体" w:hAnsi="宋体" w:eastAsia="宋体" w:cs="宋体"/>
          <w:b/>
          <w:bCs/>
          <w:color w:val="auto"/>
          <w:szCs w:val="28"/>
          <w:highlight w:val="none"/>
        </w:rPr>
        <w:t>▲</w:t>
      </w:r>
      <w:r>
        <w:rPr>
          <w:rFonts w:hint="eastAsia" w:ascii="宋体" w:hAnsi="宋体" w:eastAsia="宋体" w:cs="宋体"/>
          <w:color w:val="auto"/>
          <w:szCs w:val="28"/>
          <w:highlight w:val="none"/>
        </w:rPr>
        <w:t>4、内存:≥16GB DDR4-3200内存;</w:t>
      </w:r>
    </w:p>
    <w:p w14:paraId="244D1488">
      <w:pPr>
        <w:spacing w:line="360" w:lineRule="auto"/>
        <w:ind w:firstLine="562" w:firstLineChars="200"/>
        <w:rPr>
          <w:rFonts w:hint="eastAsia" w:ascii="宋体" w:hAnsi="宋体" w:eastAsia="宋体" w:cs="宋体"/>
          <w:color w:val="auto"/>
          <w:szCs w:val="28"/>
        </w:rPr>
      </w:pPr>
      <w:r>
        <w:rPr>
          <w:rFonts w:hint="eastAsia" w:ascii="宋体" w:hAnsi="宋体" w:eastAsia="宋体" w:cs="宋体"/>
          <w:b/>
          <w:bCs/>
          <w:color w:val="auto"/>
          <w:szCs w:val="28"/>
        </w:rPr>
        <w:t>▲</w:t>
      </w:r>
      <w:r>
        <w:rPr>
          <w:rFonts w:hint="eastAsia" w:ascii="宋体" w:hAnsi="宋体" w:eastAsia="宋体" w:cs="宋体"/>
          <w:color w:val="auto"/>
          <w:szCs w:val="28"/>
        </w:rPr>
        <w:t>5、硬盘:≥512GB M.2固态硬盘，支持第二块固态硬盘扩展;</w:t>
      </w:r>
    </w:p>
    <w:p w14:paraId="61946C3F">
      <w:pPr>
        <w:spacing w:line="360" w:lineRule="auto"/>
        <w:ind w:firstLine="560" w:firstLineChars="200"/>
        <w:rPr>
          <w:rFonts w:hint="eastAsia" w:ascii="宋体" w:hAnsi="宋体" w:eastAsia="宋体" w:cs="宋体"/>
          <w:color w:val="auto"/>
          <w:szCs w:val="28"/>
        </w:rPr>
      </w:pPr>
      <w:r>
        <w:rPr>
          <w:rFonts w:hint="eastAsia" w:ascii="宋体" w:hAnsi="宋体" w:eastAsia="宋体" w:cs="宋体"/>
          <w:color w:val="auto"/>
          <w:szCs w:val="28"/>
        </w:rPr>
        <w:t>6、显卡:集成显卡;</w:t>
      </w:r>
    </w:p>
    <w:p w14:paraId="76923ECC">
      <w:pPr>
        <w:spacing w:line="360" w:lineRule="auto"/>
        <w:ind w:firstLine="562" w:firstLineChars="200"/>
        <w:rPr>
          <w:rFonts w:hint="eastAsia" w:ascii="宋体" w:hAnsi="宋体" w:eastAsia="宋体" w:cs="宋体"/>
          <w:color w:val="auto"/>
          <w:szCs w:val="28"/>
        </w:rPr>
      </w:pPr>
      <w:r>
        <w:rPr>
          <w:rFonts w:hint="eastAsia" w:ascii="宋体" w:hAnsi="宋体" w:eastAsia="宋体" w:cs="宋体"/>
          <w:b/>
          <w:bCs/>
          <w:color w:val="auto"/>
          <w:szCs w:val="28"/>
        </w:rPr>
        <w:t>▲</w:t>
      </w:r>
      <w:r>
        <w:rPr>
          <w:rFonts w:hint="eastAsia" w:ascii="宋体" w:hAnsi="宋体" w:eastAsia="宋体" w:cs="宋体"/>
          <w:color w:val="auto"/>
          <w:szCs w:val="28"/>
        </w:rPr>
        <w:t>7、音频:集成声道高清声卡，5个音频接口</w:t>
      </w:r>
      <w:r>
        <w:rPr>
          <w:rFonts w:hint="eastAsia" w:ascii="宋体" w:hAnsi="宋体" w:eastAsia="宋体" w:cs="宋体"/>
          <w:color w:val="auto"/>
          <w:szCs w:val="28"/>
          <w:lang w:eastAsia="zh-CN"/>
        </w:rPr>
        <w:t>的具体功能</w:t>
      </w:r>
      <w:r>
        <w:rPr>
          <w:rFonts w:hint="eastAsia" w:ascii="宋体" w:hAnsi="宋体" w:eastAsia="宋体" w:cs="宋体"/>
          <w:color w:val="auto"/>
          <w:szCs w:val="28"/>
        </w:rPr>
        <w:t>:具备硬件语音降噪技术,即使用普通外置麦克风也可实现有效消除背景噪音达到清晰语音通话效果;</w:t>
      </w:r>
    </w:p>
    <w:p w14:paraId="6DCCF2FF">
      <w:pPr>
        <w:spacing w:line="360" w:lineRule="auto"/>
        <w:ind w:firstLine="560" w:firstLineChars="200"/>
        <w:rPr>
          <w:rFonts w:hint="eastAsia" w:ascii="宋体" w:hAnsi="宋体" w:eastAsia="宋体" w:cs="宋体"/>
          <w:color w:val="auto"/>
          <w:szCs w:val="28"/>
        </w:rPr>
      </w:pPr>
      <w:r>
        <w:rPr>
          <w:rFonts w:hint="eastAsia" w:ascii="宋体" w:hAnsi="宋体" w:eastAsia="宋体" w:cs="宋体"/>
          <w:color w:val="auto"/>
          <w:szCs w:val="28"/>
        </w:rPr>
        <w:t>8、网卡:集成千兆网卡;</w:t>
      </w:r>
    </w:p>
    <w:p w14:paraId="7CE20C5D">
      <w:pPr>
        <w:spacing w:line="360" w:lineRule="auto"/>
        <w:ind w:firstLine="560" w:firstLineChars="200"/>
        <w:rPr>
          <w:rFonts w:hint="eastAsia" w:ascii="宋体" w:hAnsi="宋体" w:eastAsia="宋体" w:cs="宋体"/>
          <w:color w:val="auto"/>
          <w:szCs w:val="28"/>
        </w:rPr>
      </w:pPr>
      <w:r>
        <w:rPr>
          <w:rFonts w:hint="eastAsia" w:ascii="宋体" w:hAnsi="宋体" w:eastAsia="宋体" w:cs="宋体"/>
          <w:color w:val="auto"/>
          <w:szCs w:val="28"/>
        </w:rPr>
        <w:t>9、I/0扩展槽:≥1个PCIe x16、≥2个PCIe x1、≥1个PCI；</w:t>
      </w:r>
    </w:p>
    <w:p w14:paraId="71FAA568">
      <w:pPr>
        <w:spacing w:line="360" w:lineRule="auto"/>
        <w:ind w:firstLine="560" w:firstLineChars="200"/>
        <w:rPr>
          <w:rFonts w:hint="eastAsia" w:ascii="宋体" w:hAnsi="宋体" w:eastAsia="宋体" w:cs="宋体"/>
          <w:color w:val="auto"/>
          <w:szCs w:val="28"/>
        </w:rPr>
      </w:pPr>
      <w:r>
        <w:rPr>
          <w:rFonts w:hint="eastAsia" w:ascii="宋体" w:hAnsi="宋体" w:eastAsia="宋体" w:cs="宋体"/>
          <w:color w:val="auto"/>
          <w:szCs w:val="28"/>
        </w:rPr>
        <w:t>10、M.2扩展槽:≥2个M.2;</w:t>
      </w:r>
    </w:p>
    <w:p w14:paraId="4FD246B4">
      <w:pPr>
        <w:spacing w:line="360" w:lineRule="auto"/>
        <w:ind w:firstLine="560" w:firstLineChars="200"/>
        <w:rPr>
          <w:rFonts w:hint="eastAsia" w:ascii="宋体" w:hAnsi="宋体" w:eastAsia="宋体" w:cs="宋体"/>
          <w:color w:val="auto"/>
          <w:szCs w:val="28"/>
        </w:rPr>
      </w:pPr>
      <w:r>
        <w:rPr>
          <w:rFonts w:hint="eastAsia" w:ascii="宋体" w:hAnsi="宋体" w:eastAsia="宋体" w:cs="宋体"/>
          <w:color w:val="auto"/>
          <w:szCs w:val="28"/>
        </w:rPr>
        <w:t>11、USB接口:≥10个USB接口且至少1个USB TypeC接口，支持≥18W 快充;</w:t>
      </w:r>
    </w:p>
    <w:p w14:paraId="6E1FD2D0">
      <w:pPr>
        <w:spacing w:line="360" w:lineRule="auto"/>
        <w:ind w:firstLine="560" w:firstLineChars="200"/>
        <w:rPr>
          <w:rFonts w:hint="eastAsia" w:ascii="宋体" w:hAnsi="宋体" w:eastAsia="宋体" w:cs="宋体"/>
          <w:color w:val="auto"/>
          <w:szCs w:val="28"/>
        </w:rPr>
      </w:pPr>
      <w:r>
        <w:rPr>
          <w:rFonts w:hint="eastAsia" w:ascii="宋体" w:hAnsi="宋体" w:eastAsia="宋体" w:cs="宋体"/>
          <w:color w:val="auto"/>
          <w:szCs w:val="28"/>
        </w:rPr>
        <w:t>12、视频接口:≥</w:t>
      </w:r>
      <w:r>
        <w:rPr>
          <w:rFonts w:hint="eastAsia" w:ascii="宋体" w:hAnsi="宋体" w:eastAsia="宋体" w:cs="宋体"/>
          <w:color w:val="auto"/>
          <w:szCs w:val="28"/>
          <w:lang w:val="en-US" w:eastAsia="zh-CN"/>
        </w:rPr>
        <w:t>1个</w:t>
      </w:r>
      <w:r>
        <w:rPr>
          <w:rFonts w:hint="eastAsia" w:ascii="宋体" w:hAnsi="宋体" w:eastAsia="宋体" w:cs="宋体"/>
          <w:color w:val="auto"/>
          <w:szCs w:val="28"/>
        </w:rPr>
        <w:t>VGA</w:t>
      </w:r>
      <w:r>
        <w:rPr>
          <w:rFonts w:hint="eastAsia" w:ascii="宋体" w:hAnsi="宋体" w:eastAsia="宋体" w:cs="宋体"/>
          <w:color w:val="auto"/>
          <w:szCs w:val="28"/>
          <w:lang w:eastAsia="zh-CN"/>
        </w:rPr>
        <w:t>、</w:t>
      </w:r>
      <w:r>
        <w:rPr>
          <w:rFonts w:hint="eastAsia" w:ascii="宋体" w:hAnsi="宋体" w:eastAsia="宋体" w:cs="宋体"/>
          <w:color w:val="auto"/>
          <w:szCs w:val="28"/>
          <w:lang w:val="en-US" w:eastAsia="zh-CN"/>
        </w:rPr>
        <w:t>1个</w:t>
      </w:r>
      <w:r>
        <w:rPr>
          <w:rFonts w:hint="eastAsia" w:ascii="宋体" w:hAnsi="宋体" w:eastAsia="宋体" w:cs="宋体"/>
          <w:color w:val="auto"/>
          <w:szCs w:val="28"/>
        </w:rPr>
        <w:t>HDMI</w:t>
      </w:r>
      <w:r>
        <w:rPr>
          <w:rFonts w:hint="eastAsia" w:ascii="宋体" w:hAnsi="宋体" w:eastAsia="宋体" w:cs="宋体"/>
          <w:color w:val="auto"/>
          <w:szCs w:val="28"/>
          <w:lang w:eastAsia="zh-CN"/>
        </w:rPr>
        <w:t>、</w:t>
      </w:r>
      <w:r>
        <w:rPr>
          <w:rFonts w:hint="eastAsia" w:ascii="宋体" w:hAnsi="宋体" w:eastAsia="宋体" w:cs="宋体"/>
          <w:color w:val="auto"/>
          <w:szCs w:val="28"/>
          <w:lang w:val="en-US" w:eastAsia="zh-CN"/>
        </w:rPr>
        <w:t>1个</w:t>
      </w:r>
      <w:r>
        <w:rPr>
          <w:rFonts w:hint="eastAsia" w:ascii="宋体" w:hAnsi="宋体" w:eastAsia="宋体" w:cs="宋体"/>
          <w:color w:val="auto"/>
          <w:szCs w:val="28"/>
        </w:rPr>
        <w:t>DP</w:t>
      </w:r>
      <w:r>
        <w:rPr>
          <w:rFonts w:hint="eastAsia" w:ascii="宋体" w:hAnsi="宋体" w:eastAsia="宋体" w:cs="宋体"/>
          <w:color w:val="auto"/>
          <w:szCs w:val="28"/>
          <w:lang w:val="en-US" w:eastAsia="zh-CN"/>
        </w:rPr>
        <w:t>视频输出端口，</w:t>
      </w:r>
      <w:r>
        <w:rPr>
          <w:rFonts w:hint="eastAsia" w:ascii="宋体" w:hAnsi="宋体" w:eastAsia="宋体" w:cs="宋体"/>
          <w:color w:val="auto"/>
          <w:szCs w:val="28"/>
        </w:rPr>
        <w:t>支持三屏同显;</w:t>
      </w:r>
    </w:p>
    <w:p w14:paraId="7470B413">
      <w:pPr>
        <w:spacing w:line="360" w:lineRule="auto"/>
        <w:ind w:firstLine="560" w:firstLineChars="200"/>
        <w:rPr>
          <w:rFonts w:hint="eastAsia" w:ascii="宋体" w:hAnsi="宋体" w:eastAsia="宋体" w:cs="宋体"/>
          <w:color w:val="auto"/>
          <w:szCs w:val="28"/>
        </w:rPr>
      </w:pPr>
      <w:r>
        <w:rPr>
          <w:rFonts w:hint="eastAsia" w:ascii="宋体" w:hAnsi="宋体" w:eastAsia="宋体" w:cs="宋体"/>
          <w:color w:val="auto"/>
          <w:szCs w:val="28"/>
        </w:rPr>
        <w:t>13、其他接口:≥1个串口、≥2个PS/2接口;</w:t>
      </w:r>
    </w:p>
    <w:p w14:paraId="21A7A291">
      <w:pPr>
        <w:spacing w:line="360" w:lineRule="auto"/>
        <w:ind w:firstLine="560" w:firstLineChars="200"/>
        <w:rPr>
          <w:rFonts w:hint="eastAsia" w:ascii="宋体" w:hAnsi="宋体" w:eastAsia="宋体" w:cs="宋体"/>
          <w:color w:val="auto"/>
          <w:szCs w:val="28"/>
        </w:rPr>
      </w:pPr>
      <w:r>
        <w:rPr>
          <w:rFonts w:hint="eastAsia" w:ascii="宋体" w:hAnsi="宋体" w:eastAsia="宋体" w:cs="宋体"/>
          <w:color w:val="auto"/>
          <w:szCs w:val="28"/>
        </w:rPr>
        <w:t>14、键盘鼠标:USB接口防泼溅抗菌键盘鼠标;</w:t>
      </w:r>
    </w:p>
    <w:p w14:paraId="72AA599D">
      <w:pPr>
        <w:spacing w:line="360" w:lineRule="auto"/>
        <w:ind w:firstLine="560" w:firstLineChars="200"/>
        <w:rPr>
          <w:rFonts w:hint="eastAsia" w:ascii="宋体" w:hAnsi="宋体" w:eastAsia="宋体" w:cs="宋体"/>
          <w:color w:val="auto"/>
          <w:szCs w:val="28"/>
        </w:rPr>
      </w:pPr>
      <w:r>
        <w:rPr>
          <w:rFonts w:hint="eastAsia" w:ascii="宋体" w:hAnsi="宋体" w:eastAsia="宋体" w:cs="宋体"/>
          <w:color w:val="auto"/>
          <w:szCs w:val="28"/>
        </w:rPr>
        <w:t>▲15、电源:≥300W功率节能电源;具备断电保护功能，通过充电模块、储电模块及转换模块，在突然断电情况下输出12V、5V、3.3V电力供应计算机主要部件完成正常关闭流程，降低计算机故障；</w:t>
      </w:r>
    </w:p>
    <w:p w14:paraId="3C25F0BE">
      <w:pPr>
        <w:spacing w:line="360" w:lineRule="auto"/>
        <w:ind w:firstLine="560" w:firstLineChars="200"/>
        <w:rPr>
          <w:rFonts w:hint="eastAsia" w:ascii="宋体" w:hAnsi="宋体" w:eastAsia="宋体" w:cs="宋体"/>
          <w:color w:val="auto"/>
          <w:szCs w:val="28"/>
        </w:rPr>
      </w:pPr>
      <w:r>
        <w:rPr>
          <w:rFonts w:hint="eastAsia" w:ascii="宋体" w:hAnsi="宋体" w:eastAsia="宋体" w:cs="宋体"/>
          <w:color w:val="auto"/>
          <w:szCs w:val="28"/>
        </w:rPr>
        <w:t>16、BIOS:简体中文BIOS，BIOS层USB智能屏蔽技术，仅识别USB键盘、鼠标，无法识别USB读取设备，有效防止数据泄露;</w:t>
      </w:r>
    </w:p>
    <w:p w14:paraId="71142E92">
      <w:pPr>
        <w:spacing w:line="360" w:lineRule="auto"/>
        <w:ind w:firstLine="560" w:firstLineChars="200"/>
        <w:rPr>
          <w:rFonts w:hint="eastAsia" w:ascii="宋体" w:hAnsi="宋体" w:eastAsia="宋体" w:cs="宋体"/>
          <w:color w:val="auto"/>
          <w:szCs w:val="28"/>
        </w:rPr>
      </w:pPr>
      <w:r>
        <w:rPr>
          <w:rFonts w:hint="eastAsia" w:ascii="宋体" w:hAnsi="宋体" w:eastAsia="宋体" w:cs="宋体"/>
          <w:color w:val="auto"/>
          <w:szCs w:val="28"/>
        </w:rPr>
        <w:t>17、机箱:塔式机箱≥17L;</w:t>
      </w:r>
    </w:p>
    <w:p w14:paraId="1C8013E0">
      <w:pPr>
        <w:spacing w:line="360" w:lineRule="auto"/>
        <w:ind w:firstLine="560" w:firstLineChars="200"/>
        <w:rPr>
          <w:rFonts w:hint="eastAsia" w:ascii="宋体" w:hAnsi="宋体" w:eastAsia="宋体" w:cs="宋体"/>
          <w:color w:val="auto"/>
          <w:szCs w:val="28"/>
        </w:rPr>
      </w:pPr>
      <w:r>
        <w:rPr>
          <w:rFonts w:hint="eastAsia" w:ascii="宋体" w:hAnsi="宋体" w:eastAsia="宋体" w:cs="宋体"/>
          <w:color w:val="auto"/>
          <w:szCs w:val="28"/>
        </w:rPr>
        <w:t>18、操作系统:预装正版 Windows 11操作系统;</w:t>
      </w:r>
    </w:p>
    <w:p w14:paraId="3795559D">
      <w:pPr>
        <w:spacing w:line="360" w:lineRule="auto"/>
        <w:ind w:firstLine="560" w:firstLineChars="200"/>
        <w:rPr>
          <w:rFonts w:hint="eastAsia" w:ascii="宋体" w:hAnsi="宋体" w:eastAsia="宋体" w:cs="宋体"/>
          <w:color w:val="auto"/>
          <w:szCs w:val="28"/>
        </w:rPr>
      </w:pPr>
      <w:r>
        <w:rPr>
          <w:rFonts w:hint="eastAsia" w:ascii="宋体" w:hAnsi="宋体" w:eastAsia="宋体" w:cs="宋体"/>
          <w:color w:val="auto"/>
          <w:szCs w:val="28"/>
        </w:rPr>
        <w:t>19、一键恢复:独立操作系统之外的基于BIOS层系统备份与恢</w:t>
      </w:r>
    </w:p>
    <w:p w14:paraId="38C40E57">
      <w:pPr>
        <w:spacing w:line="360" w:lineRule="auto"/>
        <w:rPr>
          <w:rFonts w:hint="eastAsia" w:ascii="宋体" w:hAnsi="宋体" w:eastAsia="宋体" w:cs="宋体"/>
          <w:color w:val="auto"/>
          <w:szCs w:val="28"/>
        </w:rPr>
      </w:pPr>
      <w:r>
        <w:rPr>
          <w:rFonts w:hint="eastAsia" w:ascii="宋体" w:hAnsi="宋体" w:eastAsia="宋体" w:cs="宋体"/>
          <w:color w:val="auto"/>
          <w:szCs w:val="28"/>
        </w:rPr>
        <w:t>复功能，支持多种介质备份与恢复(本地硬盘、U盘或移动硬盘等)，支持多种操作系统备份与恢复(Windows、KyLin或UOS等)；</w:t>
      </w:r>
    </w:p>
    <w:p w14:paraId="3E8321FD">
      <w:pPr>
        <w:spacing w:line="360" w:lineRule="auto"/>
        <w:ind w:firstLine="562" w:firstLineChars="200"/>
        <w:rPr>
          <w:rFonts w:hint="eastAsia" w:ascii="宋体" w:hAnsi="宋体" w:eastAsia="宋体" w:cs="宋体"/>
          <w:color w:val="auto"/>
          <w:szCs w:val="28"/>
          <w:lang w:eastAsia="zh-CN"/>
        </w:rPr>
      </w:pPr>
      <w:r>
        <w:rPr>
          <w:rFonts w:hint="eastAsia" w:ascii="宋体" w:hAnsi="宋体" w:eastAsia="宋体" w:cs="宋体"/>
          <w:b/>
          <w:bCs/>
          <w:color w:val="auto"/>
          <w:szCs w:val="28"/>
        </w:rPr>
        <w:t>▲</w:t>
      </w:r>
      <w:r>
        <w:rPr>
          <w:rFonts w:hint="eastAsia" w:ascii="宋体" w:hAnsi="宋体" w:eastAsia="宋体" w:cs="宋体"/>
          <w:color w:val="auto"/>
          <w:szCs w:val="28"/>
        </w:rPr>
        <w:t>20、显示器:主机同品牌≥23.8英寸液晶显示器,刷新率≥100Hz、对比度≥4000:1，VGA+HDMI+DP三视频接口，</w:t>
      </w:r>
      <w:r>
        <w:rPr>
          <w:rFonts w:hint="eastAsia" w:ascii="宋体" w:hAnsi="宋体" w:eastAsia="宋体" w:cs="宋体"/>
          <w:color w:val="auto"/>
          <w:szCs w:val="28"/>
          <w:lang w:eastAsia="zh-CN"/>
        </w:rPr>
        <w:t>标配</w:t>
      </w:r>
      <w:r>
        <w:rPr>
          <w:rFonts w:hint="eastAsia" w:ascii="宋体" w:hAnsi="宋体" w:eastAsia="宋体" w:cs="宋体"/>
          <w:color w:val="auto"/>
          <w:szCs w:val="28"/>
        </w:rPr>
        <w:t>原机HDMI线缆</w:t>
      </w:r>
      <w:r>
        <w:rPr>
          <w:rFonts w:hint="eastAsia" w:ascii="宋体" w:hAnsi="宋体" w:eastAsia="宋体" w:cs="宋体"/>
          <w:color w:val="auto"/>
          <w:szCs w:val="28"/>
          <w:highlight w:val="none"/>
        </w:rPr>
        <w:t>;</w:t>
      </w:r>
      <w:bookmarkEnd w:id="17"/>
      <w:r>
        <w:rPr>
          <w:rFonts w:hint="eastAsia" w:ascii="宋体" w:hAnsi="宋体" w:eastAsia="宋体" w:cs="宋体"/>
          <w:color w:val="auto"/>
          <w:szCs w:val="28"/>
          <w:highlight w:val="none"/>
          <w:lang w:eastAsia="zh-CN"/>
        </w:rPr>
        <w:t>色域范围SRGB 99%、DCI-P3 90%色域</w:t>
      </w: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3E056B">
    <w:pPr>
      <w:spacing w:line="176" w:lineRule="auto"/>
      <w:ind w:left="276"/>
      <w:rPr>
        <w:rFonts w:hint="eastAsia" w:ascii="仿宋" w:hAnsi="仿宋" w:eastAsia="仿宋" w:cs="仿宋"/>
        <w:sz w:val="27"/>
        <w:szCs w:val="27"/>
      </w:rPr>
    </w:pPr>
    <w:r>
      <w:rPr>
        <w:sz w:val="27"/>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6EEBB4E">
                          <w:pPr>
                            <w:pStyle w:val="1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9j2DAsAgAAV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PQa5aFrd5ZHqGj&#10;eN6ujgECtrpGUToleq3QbW1l+smI7fznvo16+hssH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r2PYMCwCAABVBAAADgAAAAAAAAABACAAAAAfAQAAZHJzL2Uyb0RvYy54bWxQSwUGAAAAAAYA&#10;BgBZAQAAvQUAAAAA&#10;">
              <v:fill on="f" focussize="0,0"/>
              <v:stroke on="f" weight="0.5pt"/>
              <v:imagedata o:title=""/>
              <o:lock v:ext="edit" aspectratio="f"/>
              <v:textbox inset="0mm,0mm,0mm,0mm" style="mso-fit-shape-to-text:t;">
                <w:txbxContent>
                  <w:p w14:paraId="76EEBB4E">
                    <w:pPr>
                      <w:pStyle w:val="13"/>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4D7113">
    <w:pPr>
      <w:spacing w:line="222" w:lineRule="auto"/>
      <w:ind w:right="2"/>
      <w:jc w:val="right"/>
      <w:rPr>
        <w:rFonts w:hint="eastAsia" w:ascii="仿宋" w:hAnsi="仿宋" w:eastAsia="仿宋" w:cs="仿宋"/>
        <w:sz w:val="19"/>
        <w:szCs w:val="19"/>
      </w:rPr>
    </w:pPr>
    <w:r>
      <w:drawing>
        <wp:anchor distT="0" distB="0" distL="0" distR="0" simplePos="0" relativeHeight="251659264" behindDoc="0" locked="0" layoutInCell="0" allowOverlap="1">
          <wp:simplePos x="0" y="0"/>
          <wp:positionH relativeFrom="page">
            <wp:posOffset>1122045</wp:posOffset>
          </wp:positionH>
          <wp:positionV relativeFrom="page">
            <wp:posOffset>922655</wp:posOffset>
          </wp:positionV>
          <wp:extent cx="5418455" cy="8890"/>
          <wp:effectExtent l="0" t="0" r="0" b="0"/>
          <wp:wrapNone/>
          <wp:docPr id="341502663" name="IM 56"/>
          <wp:cNvGraphicFramePr/>
          <a:graphic xmlns:a="http://schemas.openxmlformats.org/drawingml/2006/main">
            <a:graphicData uri="http://schemas.openxmlformats.org/drawingml/2006/picture">
              <pic:pic xmlns:pic="http://schemas.openxmlformats.org/drawingml/2006/picture">
                <pic:nvPicPr>
                  <pic:cNvPr id="341502663" name="IM 56"/>
                  <pic:cNvPicPr/>
                </pic:nvPicPr>
                <pic:blipFill>
                  <a:blip r:embed="rId1"/>
                  <a:stretch>
                    <a:fillRect/>
                  </a:stretch>
                </pic:blipFill>
                <pic:spPr>
                  <a:xfrm>
                    <a:off x="0" y="0"/>
                    <a:ext cx="5418676" cy="8621"/>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6135DAB"/>
    <w:multiLevelType w:val="singleLevel"/>
    <w:tmpl w:val="86135DAB"/>
    <w:lvl w:ilvl="0" w:tentative="0">
      <w:start w:val="2"/>
      <w:numFmt w:val="chineseCounting"/>
      <w:suff w:val="nothing"/>
      <w:lvlText w:val="（%1）"/>
      <w:lvlJc w:val="left"/>
      <w:rPr>
        <w:rFonts w:hint="eastAsia"/>
      </w:rPr>
    </w:lvl>
  </w:abstractNum>
  <w:abstractNum w:abstractNumId="1">
    <w:nsid w:val="13AFD3E4"/>
    <w:multiLevelType w:val="singleLevel"/>
    <w:tmpl w:val="13AFD3E4"/>
    <w:lvl w:ilvl="0" w:tentative="0">
      <w:start w:val="1"/>
      <w:numFmt w:val="decimal"/>
      <w:suff w:val="space"/>
      <w:lvlText w:val="%1."/>
      <w:lvlJc w:val="left"/>
    </w:lvl>
  </w:abstractNum>
  <w:abstractNum w:abstractNumId="2">
    <w:nsid w:val="539FB44F"/>
    <w:multiLevelType w:val="multilevel"/>
    <w:tmpl w:val="539FB44F"/>
    <w:lvl w:ilvl="0" w:tentative="0">
      <w:start w:val="1"/>
      <w:numFmt w:val="decimal"/>
      <w:pStyle w:val="3"/>
      <w:lvlText w:val="%1."/>
      <w:lvlJc w:val="left"/>
      <w:pPr>
        <w:ind w:left="432" w:hanging="432"/>
      </w:pPr>
      <w:rPr>
        <w:rFonts w:hint="default" w:ascii="宋体" w:hAnsi="宋体" w:eastAsia="宋体" w:cstheme="minorEastAsia"/>
        <w:sz w:val="30"/>
        <w:szCs w:val="30"/>
      </w:rPr>
    </w:lvl>
    <w:lvl w:ilvl="1" w:tentative="0">
      <w:start w:val="1"/>
      <w:numFmt w:val="decimal"/>
      <w:lvlText w:val="%1.%2."/>
      <w:lvlJc w:val="left"/>
      <w:pPr>
        <w:ind w:left="575" w:hanging="575"/>
      </w:pPr>
      <w:rPr>
        <w:rFonts w:hint="default" w:ascii="宋体" w:hAnsi="宋体" w:eastAsia="宋体" w:cs="宋体"/>
      </w:rPr>
    </w:lvl>
    <w:lvl w:ilvl="2" w:tentative="0">
      <w:start w:val="1"/>
      <w:numFmt w:val="decimal"/>
      <w:pStyle w:val="5"/>
      <w:lvlText w:val="%1.%2.%3."/>
      <w:lvlJc w:val="left"/>
      <w:pPr>
        <w:ind w:left="720" w:hanging="720"/>
      </w:pPr>
      <w:rPr>
        <w:rFonts w:hint="default"/>
      </w:rPr>
    </w:lvl>
    <w:lvl w:ilvl="3" w:tentative="0">
      <w:start w:val="1"/>
      <w:numFmt w:val="decimal"/>
      <w:pStyle w:val="6"/>
      <w:lvlText w:val="%1.%2.%3.%4."/>
      <w:lvlJc w:val="left"/>
      <w:pPr>
        <w:ind w:left="864" w:hanging="864"/>
      </w:pPr>
      <w:rPr>
        <w:rFonts w:hint="default"/>
      </w:rPr>
    </w:lvl>
    <w:lvl w:ilvl="4" w:tentative="0">
      <w:start w:val="1"/>
      <w:numFmt w:val="decimal"/>
      <w:pStyle w:val="7"/>
      <w:lvlText w:val="%1.%2.%3.%4.%5."/>
      <w:lvlJc w:val="left"/>
      <w:pPr>
        <w:ind w:left="1008" w:hanging="1008"/>
      </w:pPr>
      <w:rPr>
        <w:rFonts w:hint="default"/>
      </w:rPr>
    </w:lvl>
    <w:lvl w:ilvl="5" w:tentative="0">
      <w:start w:val="1"/>
      <w:numFmt w:val="decimal"/>
      <w:pStyle w:val="8"/>
      <w:lvlText w:val="%1.%2.%3.%4.%5.%6."/>
      <w:lvlJc w:val="left"/>
      <w:pPr>
        <w:ind w:left="1151" w:hanging="1151"/>
      </w:pPr>
      <w:rPr>
        <w:rFonts w:hint="default"/>
      </w:rPr>
    </w:lvl>
    <w:lvl w:ilvl="6" w:tentative="0">
      <w:start w:val="1"/>
      <w:numFmt w:val="decimal"/>
      <w:pStyle w:val="9"/>
      <w:lvlText w:val="%1.%2.%3.%4.%5.%6.%7."/>
      <w:lvlJc w:val="left"/>
      <w:pPr>
        <w:ind w:left="1296" w:hanging="1296"/>
      </w:pPr>
      <w:rPr>
        <w:rFonts w:hint="default"/>
      </w:rPr>
    </w:lvl>
    <w:lvl w:ilvl="7" w:tentative="0">
      <w:start w:val="1"/>
      <w:numFmt w:val="decimal"/>
      <w:pStyle w:val="10"/>
      <w:lvlText w:val="%1.%2.%3.%4.%5.%6.%7.%8."/>
      <w:lvlJc w:val="left"/>
      <w:pPr>
        <w:ind w:left="1440" w:hanging="1440"/>
      </w:pPr>
      <w:rPr>
        <w:rFonts w:hint="default"/>
      </w:rPr>
    </w:lvl>
    <w:lvl w:ilvl="8" w:tentative="0">
      <w:start w:val="1"/>
      <w:numFmt w:val="decimal"/>
      <w:pStyle w:val="11"/>
      <w:lvlText w:val="%1.%2.%3.%4.%5.%6.%7.%8.%9."/>
      <w:lvlJc w:val="left"/>
      <w:pPr>
        <w:ind w:left="1583" w:hanging="1583"/>
      </w:pPr>
      <w:rPr>
        <w:rFonts w:hint="default"/>
      </w:rPr>
    </w:lvl>
  </w:abstractNum>
  <w:abstractNum w:abstractNumId="3">
    <w:nsid w:val="60CC929A"/>
    <w:multiLevelType w:val="singleLevel"/>
    <w:tmpl w:val="60CC929A"/>
    <w:lvl w:ilvl="0" w:tentative="0">
      <w:start w:val="3"/>
      <w:numFmt w:val="chineseCounting"/>
      <w:suff w:val="nothing"/>
      <w:lvlText w:val="%1、"/>
      <w:lvlJc w:val="left"/>
      <w:rPr>
        <w:rFonts w:hint="eastAsia"/>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zc0YzFmMjQyMzdhNTUxZTEyMjUwMDVhZjNlZGUxZWYifQ=="/>
  </w:docVars>
  <w:rsids>
    <w:rsidRoot w:val="00564C2D"/>
    <w:rsid w:val="000926EC"/>
    <w:rsid w:val="001B5261"/>
    <w:rsid w:val="00232A80"/>
    <w:rsid w:val="00252D47"/>
    <w:rsid w:val="002D758A"/>
    <w:rsid w:val="003A11B8"/>
    <w:rsid w:val="003B4DEE"/>
    <w:rsid w:val="003D29A9"/>
    <w:rsid w:val="00430AEB"/>
    <w:rsid w:val="00433D44"/>
    <w:rsid w:val="00564C2D"/>
    <w:rsid w:val="005950E9"/>
    <w:rsid w:val="00653B65"/>
    <w:rsid w:val="006C75FA"/>
    <w:rsid w:val="00793AE9"/>
    <w:rsid w:val="007B33AA"/>
    <w:rsid w:val="008163B2"/>
    <w:rsid w:val="00931D6E"/>
    <w:rsid w:val="00982D30"/>
    <w:rsid w:val="00C40937"/>
    <w:rsid w:val="00D13A4C"/>
    <w:rsid w:val="00D271F0"/>
    <w:rsid w:val="00DA5939"/>
    <w:rsid w:val="00DB78A0"/>
    <w:rsid w:val="00DF79C1"/>
    <w:rsid w:val="00E20FA4"/>
    <w:rsid w:val="00ED7790"/>
    <w:rsid w:val="00FA26CA"/>
    <w:rsid w:val="00FE578B"/>
    <w:rsid w:val="05A056BD"/>
    <w:rsid w:val="0616531B"/>
    <w:rsid w:val="0B332DC5"/>
    <w:rsid w:val="0E7B71E3"/>
    <w:rsid w:val="13EA4DA6"/>
    <w:rsid w:val="14703CD0"/>
    <w:rsid w:val="181F6915"/>
    <w:rsid w:val="18A54F7E"/>
    <w:rsid w:val="24816262"/>
    <w:rsid w:val="250A3AB0"/>
    <w:rsid w:val="26FE1667"/>
    <w:rsid w:val="2CAF080C"/>
    <w:rsid w:val="303A20E7"/>
    <w:rsid w:val="337C05C5"/>
    <w:rsid w:val="34A9783B"/>
    <w:rsid w:val="392F6881"/>
    <w:rsid w:val="39AC3948"/>
    <w:rsid w:val="3B6176D2"/>
    <w:rsid w:val="3F583EAE"/>
    <w:rsid w:val="41913544"/>
    <w:rsid w:val="44C05E76"/>
    <w:rsid w:val="50291050"/>
    <w:rsid w:val="50B9623D"/>
    <w:rsid w:val="50F244D3"/>
    <w:rsid w:val="51AE02CD"/>
    <w:rsid w:val="539A61B8"/>
    <w:rsid w:val="5CE035F5"/>
    <w:rsid w:val="5E3113E5"/>
    <w:rsid w:val="6E212FC9"/>
    <w:rsid w:val="6EF65CF4"/>
    <w:rsid w:val="6F2E4DF8"/>
    <w:rsid w:val="6FA0300D"/>
    <w:rsid w:val="781357B8"/>
    <w:rsid w:val="783B48F7"/>
    <w:rsid w:val="788D63E5"/>
    <w:rsid w:val="790E05BF"/>
    <w:rsid w:val="792E168A"/>
    <w:rsid w:val="79324280"/>
    <w:rsid w:val="7BE3698A"/>
    <w:rsid w:val="7C0036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8"/>
      <w:szCs w:val="24"/>
      <w:lang w:val="en-US" w:eastAsia="zh-CN" w:bidi="ar-SA"/>
    </w:rPr>
  </w:style>
  <w:style w:type="paragraph" w:styleId="3">
    <w:name w:val="heading 1"/>
    <w:next w:val="1"/>
    <w:qFormat/>
    <w:uiPriority w:val="0"/>
    <w:pPr>
      <w:keepNext/>
      <w:keepLines/>
      <w:numPr>
        <w:ilvl w:val="0"/>
        <w:numId w:val="1"/>
      </w:numPr>
      <w:spacing w:line="360" w:lineRule="auto"/>
      <w:ind w:left="0" w:firstLine="883" w:firstLineChars="200"/>
      <w:outlineLvl w:val="0"/>
    </w:pPr>
    <w:rPr>
      <w:rFonts w:ascii="Calibri" w:hAnsi="Calibri" w:eastAsia="宋体" w:cstheme="minorBidi"/>
      <w:b/>
      <w:kern w:val="44"/>
      <w:sz w:val="32"/>
      <w:lang w:val="en-US" w:eastAsia="zh-CN" w:bidi="ar-SA"/>
    </w:rPr>
  </w:style>
  <w:style w:type="paragraph" w:styleId="4">
    <w:name w:val="heading 2"/>
    <w:basedOn w:val="1"/>
    <w:next w:val="1"/>
    <w:unhideWhenUsed/>
    <w:qFormat/>
    <w:uiPriority w:val="0"/>
    <w:pPr>
      <w:keepNext/>
      <w:keepLines/>
      <w:spacing w:line="360" w:lineRule="auto"/>
      <w:ind w:firstLine="643" w:firstLineChars="200"/>
      <w:outlineLvl w:val="1"/>
    </w:pPr>
    <w:rPr>
      <w:rFonts w:ascii="Arial" w:hAnsi="Arial" w:eastAsia="宋体"/>
      <w:b/>
      <w:sz w:val="32"/>
    </w:rPr>
  </w:style>
  <w:style w:type="paragraph" w:styleId="5">
    <w:name w:val="heading 3"/>
    <w:basedOn w:val="1"/>
    <w:next w:val="1"/>
    <w:semiHidden/>
    <w:unhideWhenUsed/>
    <w:qFormat/>
    <w:uiPriority w:val="0"/>
    <w:pPr>
      <w:keepNext/>
      <w:keepLines/>
      <w:numPr>
        <w:ilvl w:val="2"/>
        <w:numId w:val="1"/>
      </w:numPr>
      <w:spacing w:before="260" w:after="260" w:line="413" w:lineRule="auto"/>
      <w:outlineLvl w:val="2"/>
    </w:pPr>
    <w:rPr>
      <w:b/>
      <w:sz w:val="32"/>
    </w:rPr>
  </w:style>
  <w:style w:type="paragraph" w:styleId="6">
    <w:name w:val="heading 4"/>
    <w:basedOn w:val="1"/>
    <w:next w:val="1"/>
    <w:semiHidden/>
    <w:unhideWhenUsed/>
    <w:qFormat/>
    <w:uiPriority w:val="0"/>
    <w:pPr>
      <w:keepNext/>
      <w:keepLines/>
      <w:numPr>
        <w:ilvl w:val="3"/>
        <w:numId w:val="1"/>
      </w:numPr>
      <w:tabs>
        <w:tab w:val="left" w:pos="420"/>
      </w:tabs>
      <w:spacing w:line="360" w:lineRule="auto"/>
      <w:ind w:left="0" w:firstLine="400" w:firstLineChars="200"/>
      <w:jc w:val="left"/>
      <w:outlineLvl w:val="3"/>
    </w:pPr>
    <w:rPr>
      <w:rFonts w:ascii="Arial" w:hAnsi="Arial" w:eastAsia="仿宋"/>
      <w:b/>
      <w:bCs/>
      <w:szCs w:val="28"/>
    </w:rPr>
  </w:style>
  <w:style w:type="paragraph" w:styleId="7">
    <w:name w:val="heading 5"/>
    <w:basedOn w:val="1"/>
    <w:next w:val="1"/>
    <w:semiHidden/>
    <w:unhideWhenUsed/>
    <w:qFormat/>
    <w:uiPriority w:val="0"/>
    <w:pPr>
      <w:keepNext/>
      <w:keepLines/>
      <w:numPr>
        <w:ilvl w:val="4"/>
        <w:numId w:val="1"/>
      </w:numPr>
      <w:spacing w:before="280" w:after="290" w:line="372" w:lineRule="auto"/>
      <w:outlineLvl w:val="4"/>
    </w:pPr>
    <w:rPr>
      <w:b/>
    </w:rPr>
  </w:style>
  <w:style w:type="paragraph" w:styleId="8">
    <w:name w:val="heading 6"/>
    <w:basedOn w:val="1"/>
    <w:next w:val="1"/>
    <w:semiHidden/>
    <w:unhideWhenUsed/>
    <w:qFormat/>
    <w:uiPriority w:val="0"/>
    <w:pPr>
      <w:keepNext/>
      <w:keepLines/>
      <w:numPr>
        <w:ilvl w:val="5"/>
        <w:numId w:val="1"/>
      </w:numPr>
      <w:spacing w:before="240" w:after="64" w:line="317" w:lineRule="auto"/>
      <w:outlineLvl w:val="5"/>
    </w:pPr>
    <w:rPr>
      <w:rFonts w:ascii="Arial" w:hAnsi="Arial" w:eastAsia="黑体"/>
      <w:b/>
      <w:sz w:val="24"/>
    </w:rPr>
  </w:style>
  <w:style w:type="paragraph" w:styleId="9">
    <w:name w:val="heading 7"/>
    <w:basedOn w:val="1"/>
    <w:next w:val="1"/>
    <w:semiHidden/>
    <w:unhideWhenUsed/>
    <w:qFormat/>
    <w:uiPriority w:val="0"/>
    <w:pPr>
      <w:keepNext/>
      <w:keepLines/>
      <w:numPr>
        <w:ilvl w:val="6"/>
        <w:numId w:val="1"/>
      </w:numPr>
      <w:spacing w:before="240" w:after="64" w:line="317" w:lineRule="auto"/>
      <w:outlineLvl w:val="6"/>
    </w:pPr>
    <w:rPr>
      <w:b/>
      <w:sz w:val="24"/>
    </w:rPr>
  </w:style>
  <w:style w:type="paragraph" w:styleId="10">
    <w:name w:val="heading 8"/>
    <w:basedOn w:val="1"/>
    <w:next w:val="1"/>
    <w:semiHidden/>
    <w:unhideWhenUsed/>
    <w:qFormat/>
    <w:uiPriority w:val="0"/>
    <w:pPr>
      <w:keepNext/>
      <w:keepLines/>
      <w:numPr>
        <w:ilvl w:val="7"/>
        <w:numId w:val="1"/>
      </w:numPr>
      <w:spacing w:before="240" w:after="64" w:line="317" w:lineRule="auto"/>
      <w:outlineLvl w:val="7"/>
    </w:pPr>
    <w:rPr>
      <w:rFonts w:ascii="Arial" w:hAnsi="Arial" w:eastAsia="黑体"/>
      <w:sz w:val="24"/>
    </w:rPr>
  </w:style>
  <w:style w:type="paragraph" w:styleId="11">
    <w:name w:val="heading 9"/>
    <w:basedOn w:val="1"/>
    <w:next w:val="1"/>
    <w:semiHidden/>
    <w:unhideWhenUsed/>
    <w:qFormat/>
    <w:uiPriority w:val="0"/>
    <w:pPr>
      <w:keepNext/>
      <w:keepLines/>
      <w:numPr>
        <w:ilvl w:val="8"/>
        <w:numId w:val="1"/>
      </w:numPr>
      <w:spacing w:before="240" w:after="64" w:line="317" w:lineRule="auto"/>
      <w:outlineLvl w:val="8"/>
    </w:pPr>
    <w:rPr>
      <w:rFonts w:ascii="Arial" w:hAnsi="Arial" w:eastAsia="黑体"/>
    </w:rPr>
  </w:style>
  <w:style w:type="character" w:default="1" w:styleId="18">
    <w:name w:val="Default Paragraph Font"/>
    <w:semiHidden/>
    <w:unhideWhenUsed/>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2">
    <w:name w:val="toa heading"/>
    <w:basedOn w:val="1"/>
    <w:next w:val="1"/>
    <w:qFormat/>
    <w:uiPriority w:val="0"/>
    <w:pPr>
      <w:spacing w:before="120"/>
    </w:pPr>
    <w:rPr>
      <w:rFonts w:ascii="Arial" w:hAnsi="Arial"/>
      <w:sz w:val="24"/>
    </w:rPr>
  </w:style>
  <w:style w:type="paragraph" w:styleId="12">
    <w:name w:val="Body Text Indent"/>
    <w:basedOn w:val="1"/>
    <w:qFormat/>
    <w:uiPriority w:val="0"/>
    <w:pPr>
      <w:spacing w:after="120"/>
      <w:ind w:left="420" w:leftChars="200"/>
    </w:pPr>
  </w:style>
  <w:style w:type="paragraph" w:styleId="13">
    <w:name w:val="footer"/>
    <w:basedOn w:val="1"/>
    <w:qFormat/>
    <w:uiPriority w:val="0"/>
    <w:pPr>
      <w:tabs>
        <w:tab w:val="center" w:pos="4153"/>
        <w:tab w:val="right" w:pos="8306"/>
      </w:tabs>
      <w:snapToGrid w:val="0"/>
      <w:jc w:val="left"/>
    </w:pPr>
    <w:rPr>
      <w:sz w:val="18"/>
      <w:szCs w:val="18"/>
    </w:rPr>
  </w:style>
  <w:style w:type="paragraph" w:styleId="14">
    <w:name w:val="header"/>
    <w:basedOn w:val="1"/>
    <w:link w:val="20"/>
    <w:qFormat/>
    <w:uiPriority w:val="0"/>
    <w:pPr>
      <w:tabs>
        <w:tab w:val="center" w:pos="4153"/>
        <w:tab w:val="right" w:pos="8306"/>
      </w:tabs>
      <w:snapToGrid w:val="0"/>
      <w:jc w:val="center"/>
    </w:pPr>
    <w:rPr>
      <w:sz w:val="18"/>
      <w:szCs w:val="18"/>
    </w:rPr>
  </w:style>
  <w:style w:type="paragraph" w:styleId="15">
    <w:name w:val="Body Text First Indent 2"/>
    <w:basedOn w:val="12"/>
    <w:qFormat/>
    <w:uiPriority w:val="0"/>
    <w:pPr>
      <w:ind w:firstLine="420" w:firstLineChars="200"/>
    </w:pPr>
  </w:style>
  <w:style w:type="table" w:styleId="17">
    <w:name w:val="Table Grid"/>
    <w:basedOn w:val="1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19">
    <w:name w:val="List Paragraph"/>
    <w:basedOn w:val="1"/>
    <w:qFormat/>
    <w:uiPriority w:val="34"/>
    <w:pPr>
      <w:ind w:firstLine="420" w:firstLineChars="200"/>
    </w:pPr>
  </w:style>
  <w:style w:type="character" w:customStyle="1" w:styleId="20">
    <w:name w:val="页眉 字符"/>
    <w:basedOn w:val="18"/>
    <w:link w:val="14"/>
    <w:qFormat/>
    <w:uiPriority w:val="0"/>
    <w:rPr>
      <w:kern w:val="2"/>
      <w:sz w:val="18"/>
      <w:szCs w:val="18"/>
    </w:rPr>
  </w:style>
  <w:style w:type="paragraph" w:customStyle="1" w:styleId="21">
    <w:name w:val="修订1"/>
    <w:hidden/>
    <w:unhideWhenUsed/>
    <w:qFormat/>
    <w:uiPriority w:val="99"/>
    <w:rPr>
      <w:rFonts w:asciiTheme="minorHAnsi" w:hAnsiTheme="minorHAnsi" w:eastAsiaTheme="minorEastAsia" w:cstheme="minorBidi"/>
      <w:kern w:val="2"/>
      <w:sz w:val="21"/>
      <w:szCs w:val="24"/>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21</Pages>
  <Words>8751</Words>
  <Characters>9260</Characters>
  <Lines>52</Lines>
  <Paragraphs>270</Paragraphs>
  <TotalTime>1</TotalTime>
  <ScaleCrop>false</ScaleCrop>
  <LinksUpToDate>false</LinksUpToDate>
  <CharactersWithSpaces>9380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2025-09-21T03:07:00Z</dcterms:created>
  <dc:creator>华为</dc:creator>
  <cp:lastModifiedBy>南在南方</cp:lastModifiedBy>
  <dcterms:modified xsi:type="dcterms:W3CDTF">2025-09-29T02:20:58Z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0E51275718D64DF0A2391A1435C87EE9_13</vt:lpwstr>
  </property>
  <property fmtid="{D5CDD505-2E9C-101B-9397-08002B2CF9AE}" pid="4" name="KSOTemplateDocerSaveRecord">
    <vt:lpwstr>eyJoZGlkIjoiZTNiMmJjMGUyMDNhMGI0MjllZTc4OTE3ODRjOTBjMWQiLCJ1c2VySWQiOiI0OTE2MDE5MzUifQ==</vt:lpwstr>
  </property>
</Properties>
</file>