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克什克腾旗旅游目的地创建运营总体规划</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克什克腾旗文化旅游体育局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内蒙古和纳工程咨询有限公司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CFZCKTS-C-F-250001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内蒙古和纳工程咨询有限公司</w:t>
      </w:r>
      <w:r>
        <w:rPr>
          <w:rFonts w:ascii="仿宋_GB2312" w:hAnsi="仿宋_GB2312" w:cs="仿宋_GB2312" w:eastAsia="仿宋_GB2312"/>
        </w:rPr>
        <w:t xml:space="preserve"> 受 </w:t>
      </w:r>
      <w:r>
        <w:rPr>
          <w:rFonts w:ascii="仿宋_GB2312" w:hAnsi="仿宋_GB2312" w:cs="仿宋_GB2312" w:eastAsia="仿宋_GB2312"/>
        </w:rPr>
        <w:t>克什克腾旗文化旅游体育局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克什克腾旗旅游目的地创建运营总体规划</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克什克腾旗旅游目的地创建运营总体规划</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CFZCKTS-C-F-250001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赤政采计划[2025]克旗00001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克什克腾旗旅游目的地创建运营总体规划</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1,020,000.00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内蒙古和纳工程咨询有限公司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内蒙古自治区赤峰市红山区桥北镇姚家洼居委会赤峰蒙东云计算产业孵化园A区20号楼1-505、1-506、1-507</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025450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孙旭南</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0476-5945985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克什克腾旗文化旅游体育局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克旗党政综合楼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025350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李鹏云</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15247652813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克什克腾旗文化旅游体育局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内蒙古和纳工程咨询有限公司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招国内强有实力的旅游资源开发、策划、设计的公司，对克什克腾旗旅游产业发展现状调研分析，借鉴国际一流旅游城市发展模式和成功经验，围绕克什克腾旗全域旅游发展、品牌推广以及文旅产业发展需求，提出系统解决方案。</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1.标的提供的时间：自合同签订之日起180个日历天内完成全部服务内容</w:t>
            </w:r>
            <w:r>
              <w:br/>
            </w:r>
            <w:r>
              <w:rPr>
                <w:rFonts w:ascii="仿宋_GB2312" w:hAnsi="仿宋_GB2312" w:cs="仿宋_GB2312" w:eastAsia="仿宋_GB2312"/>
              </w:rPr>
              <w:t xml:space="preserve"> 2.标的提供的地点：采购人要求地点</w:t>
            </w:r>
            <w:r>
              <w:br/>
            </w:r>
            <w:r>
              <w:rPr>
                <w:rFonts w:ascii="仿宋_GB2312" w:hAnsi="仿宋_GB2312" w:cs="仿宋_GB2312" w:eastAsia="仿宋_GB2312"/>
              </w:rPr>
              <w:t xml:space="preserve"> 3.投标有效期:从提交投标文件的截止之日起90日历天</w:t>
            </w:r>
            <w:r>
              <w:br/>
            </w:r>
            <w:r>
              <w:rPr>
                <w:rFonts w:ascii="仿宋_GB2312" w:hAnsi="仿宋_GB2312" w:cs="仿宋_GB2312" w:eastAsia="仿宋_GB2312"/>
              </w:rPr>
              <w:t xml:space="preserve"> 4.支付期次如下:</w:t>
            </w:r>
            <w:r>
              <w:br/>
            </w:r>
            <w:r>
              <w:rPr>
                <w:rFonts w:ascii="仿宋_GB2312" w:hAnsi="仿宋_GB2312" w:cs="仿宋_GB2312" w:eastAsia="仿宋_GB2312"/>
              </w:rPr>
              <w:t xml:space="preserve"> 采购资金支付</w:t>
            </w:r>
            <w:r>
              <w:br/>
            </w:r>
            <w:r>
              <w:rPr>
                <w:rFonts w:ascii="仿宋_GB2312" w:hAnsi="仿宋_GB2312" w:cs="仿宋_GB2312" w:eastAsia="仿宋_GB2312"/>
              </w:rPr>
              <w:t xml:space="preserve"> 1期:支付40%。采购人在签订合同后5个工作日内，向中标(成交)供应商支付总费用的40%。</w:t>
            </w:r>
          </w:p>
          <w:p>
            <w:pPr>
              <w:pStyle w:val="null5"/>
              <w:jc w:val="left"/>
            </w:pPr>
            <w:r>
              <w:rPr>
                <w:rFonts w:ascii="仿宋_GB2312" w:hAnsi="仿宋_GB2312" w:cs="仿宋_GB2312" w:eastAsia="仿宋_GB2312"/>
              </w:rPr>
              <w:t>2期:支付40%。中标(成交)供应商提交并汇报初稿后，5个工作日内，采购人支付总费用40%</w:t>
            </w:r>
          </w:p>
          <w:p>
            <w:pPr>
              <w:pStyle w:val="null5"/>
              <w:jc w:val="left"/>
            </w:pPr>
            <w:r>
              <w:rPr>
                <w:rFonts w:ascii="仿宋_GB2312" w:hAnsi="仿宋_GB2312" w:cs="仿宋_GB2312" w:eastAsia="仿宋_GB2312"/>
              </w:rPr>
              <w:t>3期:支付20%。项目服务成果经采购人确认并验收后，5个工作日内，采购人支付总费用的20%。</w:t>
            </w:r>
            <w:r>
              <w:br/>
            </w:r>
            <w:r>
              <w:rPr>
                <w:rFonts w:ascii="仿宋_GB2312" w:hAnsi="仿宋_GB2312" w:cs="仿宋_GB2312" w:eastAsia="仿宋_GB2312"/>
              </w:rPr>
              <w:t xml:space="preserve"> 5.验收要求：验收期次要求如下:1期:(1)提供的相关服务符合现行最新国家(或行业)规定标准;(2)项目规划成果文件通过采购人组织的专家评审。</w:t>
            </w:r>
            <w:r>
              <w:br/>
            </w:r>
            <w:r>
              <w:rPr>
                <w:rFonts w:ascii="仿宋_GB2312" w:hAnsi="仿宋_GB2312" w:cs="仿宋_GB2312" w:eastAsia="仿宋_GB2312"/>
              </w:rPr>
              <w:t xml:space="preserve"> 6.联合体投标：否</w:t>
            </w:r>
            <w:r>
              <w:br/>
            </w:r>
            <w:r>
              <w:rPr>
                <w:rFonts w:ascii="仿宋_GB2312" w:hAnsi="仿宋_GB2312" w:cs="仿宋_GB2312" w:eastAsia="仿宋_GB2312"/>
              </w:rPr>
              <w:t xml:space="preserve"> 7.合同履行期限：自合同签订之日起180个日历天内完成全部服务内容</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标的名称：克什克腾旗旅游目的地创建运营总体规划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1、旅游目的地创建背景研究与克什克腾旗文旅资源分析研判；</w:t>
            </w:r>
            <w:r>
              <w:br/>
            </w:r>
            <w:r>
              <w:rPr>
                <w:rFonts w:ascii="仿宋_GB2312" w:hAnsi="仿宋_GB2312" w:cs="仿宋_GB2312" w:eastAsia="仿宋_GB2312"/>
              </w:rPr>
              <w:t xml:space="preserve"> 2、制定克什克腾旗旅游目的地创建的核心战略及目标；</w:t>
            </w:r>
            <w:r>
              <w:br/>
            </w:r>
            <w:r>
              <w:rPr>
                <w:rFonts w:ascii="仿宋_GB2312" w:hAnsi="仿宋_GB2312" w:cs="仿宋_GB2312" w:eastAsia="仿宋_GB2312"/>
              </w:rPr>
              <w:t xml:space="preserve"> 3、克什克腾旗旅游目的地市场品牌形象策划；</w:t>
            </w:r>
            <w:r>
              <w:br/>
            </w:r>
            <w:r>
              <w:rPr>
                <w:rFonts w:ascii="仿宋_GB2312" w:hAnsi="仿宋_GB2312" w:cs="仿宋_GB2312" w:eastAsia="仿宋_GB2312"/>
              </w:rPr>
              <w:t xml:space="preserve"> 4、构建目的地旅游项目产品体系构建；</w:t>
            </w:r>
            <w:r>
              <w:br/>
            </w:r>
            <w:r>
              <w:rPr>
                <w:rFonts w:ascii="仿宋_GB2312" w:hAnsi="仿宋_GB2312" w:cs="仿宋_GB2312" w:eastAsia="仿宋_GB2312"/>
              </w:rPr>
              <w:t xml:space="preserve"> 5、龙头文旅产品的提升思路；</w:t>
            </w:r>
            <w:r>
              <w:br/>
            </w:r>
            <w:r>
              <w:rPr>
                <w:rFonts w:ascii="仿宋_GB2312" w:hAnsi="仿宋_GB2312" w:cs="仿宋_GB2312" w:eastAsia="仿宋_GB2312"/>
              </w:rPr>
              <w:t xml:space="preserve"> 6、旅游目的地要素专项规划；</w:t>
            </w:r>
            <w:r>
              <w:br/>
            </w:r>
            <w:r>
              <w:rPr>
                <w:rFonts w:ascii="仿宋_GB2312" w:hAnsi="仿宋_GB2312" w:cs="仿宋_GB2312" w:eastAsia="仿宋_GB2312"/>
              </w:rPr>
              <w:t xml:space="preserve"> 7、旅游目的地营销推广方案；</w:t>
            </w:r>
            <w:r>
              <w:br/>
            </w:r>
            <w:r>
              <w:rPr>
                <w:rFonts w:ascii="仿宋_GB2312" w:hAnsi="仿宋_GB2312" w:cs="仿宋_GB2312" w:eastAsia="仿宋_GB2312"/>
              </w:rPr>
              <w:t xml:space="preserve"> 8、旅游目的地构建运营模式；</w:t>
            </w:r>
            <w:r>
              <w:br/>
            </w:r>
            <w:r>
              <w:rPr>
                <w:rFonts w:ascii="仿宋_GB2312" w:hAnsi="仿宋_GB2312" w:cs="仿宋_GB2312" w:eastAsia="仿宋_GB2312"/>
              </w:rPr>
              <w:t xml:space="preserve"> 9、近期战略部署及行动计划。</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审查供应商2022或2023年度经会计师事务所出具的财务审计报告或其基本开户银行出具的近一年内的银行资信证明或供应商出具的“具有良好的商业信誉和健全的财务会计制度”的承诺书（格式自拟）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①提供递交投标文件截止之日前一年内（至少一个月）的良好缴纳税收的相关凭据（以税务机关提供的纳税凭据或银行入账单为准）及②提供递交响应文件截止之日前一年内（至少一个月）缴纳社会保险的凭证（以专用收据或社会保险缴纳清单为准）；或 2）供应商出具的“具有依法缴纳税收和社会保障资金的良好记录”的承诺书（格式自拟）。注：其他组织和自然人也需要提供缴纳。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具有履行合同所必须的设备和专业技术能力；审查供应商出具的“具有履行合同所必须的设备和专业技术能力”声明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项目理解与问题分析</w:t>
            </w:r>
          </w:p>
        </w:tc>
        <w:tc>
          <w:tcPr>
            <w:tcW w:type="dxa" w:w="3115"/>
          </w:tcPr>
          <w:p>
            <w:pPr>
              <w:pStyle w:val="null5"/>
              <w:jc w:val="left"/>
            </w:pPr>
            <w:r>
              <w:rPr>
                <w:rFonts w:ascii="仿宋_GB2312" w:hAnsi="仿宋_GB2312" w:cs="仿宋_GB2312" w:eastAsia="仿宋_GB2312"/>
              </w:rPr>
              <w:t>根据供应商对本项目的理解与问题分析进行评审，本项最高得10分。 （1）对本项目的理解与问题分析透彻且全面、条理清晰、内容完整、能够完全满足采购需求的得10分；（2）对本项目的理解与问题分析相对全面、条理相对清晰、内容相对完整的、能够满足采购需求的得6分；（3）对本项目的理解与问题分析全面、条理基本清晰、内容基本完整、基本能满足采购需求的得3分；（4）对本项目的理解与问题分析有明显缺陷的得1分，（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规划设计思路</w:t>
            </w:r>
          </w:p>
        </w:tc>
        <w:tc>
          <w:tcPr>
            <w:tcW w:type="dxa" w:w="3115"/>
          </w:tcPr>
          <w:p>
            <w:pPr>
              <w:pStyle w:val="null5"/>
              <w:jc w:val="left"/>
            </w:pPr>
            <w:r>
              <w:rPr>
                <w:rFonts w:ascii="仿宋_GB2312" w:hAnsi="仿宋_GB2312" w:cs="仿宋_GB2312" w:eastAsia="仿宋_GB2312"/>
              </w:rPr>
              <w:t>根据供应商对本项目的规划设计思路进行评审，本项最高得30分。 （1）规划设计思路清晰且有创新性、思路定位准确、描述完善、能够完全满足采购需求的得30分；（2）规划设计思路比较清晰且有创新性、思路定位相对准确、描述相对完善、能够满足采购需求的得20分；（3）规划设计思路基本清晰、思路定位基本准确、描述基本完善、基本能满足采购需求的得10分；（4）规划设计思路有明显缺陷的得5分；（5）未提供不得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服务进度保证措施</w:t>
            </w:r>
          </w:p>
        </w:tc>
        <w:tc>
          <w:tcPr>
            <w:tcW w:type="dxa" w:w="3115"/>
          </w:tcPr>
          <w:p>
            <w:pPr>
              <w:pStyle w:val="null5"/>
              <w:jc w:val="left"/>
            </w:pPr>
            <w:r>
              <w:rPr>
                <w:rFonts w:ascii="仿宋_GB2312" w:hAnsi="仿宋_GB2312" w:cs="仿宋_GB2312" w:eastAsia="仿宋_GB2312"/>
              </w:rPr>
              <w:t>根据供应商提供的服务进度保证措施进行评审，本项最高得5分。 （1）服务进度保证措施详细、切实可行、有详实的关键时间节点、能够完全满足采购需求的得5分；（2）服务进度保证措施相对详细、切实可行、有较详实的关键时间节点、能够满足采购需求的得3分；（3）服务进度保证措施基本详细、基本可行、有关键时间节点、基本能满足采购需求的得2分；（4）服务进度保证措施有明显缺陷的得1分；（5）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针对本项目重点及难点分析</w:t>
            </w:r>
          </w:p>
        </w:tc>
        <w:tc>
          <w:tcPr>
            <w:tcW w:type="dxa" w:w="3115"/>
          </w:tcPr>
          <w:p>
            <w:pPr>
              <w:pStyle w:val="null5"/>
              <w:jc w:val="left"/>
            </w:pPr>
            <w:r>
              <w:rPr>
                <w:rFonts w:ascii="仿宋_GB2312" w:hAnsi="仿宋_GB2312" w:cs="仿宋_GB2312" w:eastAsia="仿宋_GB2312"/>
              </w:rPr>
              <w:t>根据供应商对本项目重点及难点分析进行评审，本项最高得10分。 （1）对本项目重点及难点分析全面、条理清晰、内容完整、能够完全满足采购需求的得10分；（2）对本项目重点及难点分析相对全面、条理相对清晰、内容相对完整、能够满足采购需求的得6分；（3）对本项目重点及难点分析基本全面、条例基本清晰、内容基本完整、基本满足采购需求的得3分；（4）对本项目重点及难点分析有明显缺陷的得1分；（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服务质量保证措施</w:t>
            </w:r>
          </w:p>
        </w:tc>
        <w:tc>
          <w:tcPr>
            <w:tcW w:type="dxa" w:w="3115"/>
          </w:tcPr>
          <w:p>
            <w:pPr>
              <w:pStyle w:val="null5"/>
              <w:jc w:val="left"/>
            </w:pPr>
            <w:r>
              <w:rPr>
                <w:rFonts w:ascii="仿宋_GB2312" w:hAnsi="仿宋_GB2312" w:cs="仿宋_GB2312" w:eastAsia="仿宋_GB2312"/>
              </w:rPr>
              <w:t>根据供应商提供的服务质量保证措施进行评审，本项最高得5分。 （1）服务质量保障措施完善、质量保证措施全面、具体、可行、能够完全满足采购需求的得5分；（2）服务质量保障措施相对为完善、质量保证措施相对全面、具体、可行、能够满足采购需求的得3分；（3）服务质量保障措施基本完善、可行性一般、基本满足采购需求的得2分；（4）服务质量保障措施有明显缺陷的得1分；（5）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项目团队</w:t>
            </w:r>
          </w:p>
        </w:tc>
        <w:tc>
          <w:tcPr>
            <w:tcW w:type="dxa" w:w="3115"/>
          </w:tcPr>
          <w:p>
            <w:pPr>
              <w:pStyle w:val="null5"/>
              <w:jc w:val="left"/>
            </w:pPr>
            <w:r>
              <w:rPr>
                <w:rFonts w:ascii="仿宋_GB2312" w:hAnsi="仿宋_GB2312" w:cs="仿宋_GB2312" w:eastAsia="仿宋_GB2312"/>
              </w:rPr>
              <w:t>根据供应商对本项目配备的项目团队进行评审，包括但不限于人员学历、职业资格、工作经历、工作年限等，本项最高得10分。 （1）对本项目配备的项目团队岗位设计合理、职责清晰、分工明确、人员充足、工作经验丰富、具有胜任本工作的相应学历、职业资格的得10分；（2）对本项目配备的项目团队岗位设计相对合理、职责相对清晰、分工明确、人员充足、工作经验相对丰富、具有胜任本工作的相应学历、职业资格的得6分；（3)对本项目配备的项目团队岗位设计较合理、职责较清晰、分工较明确、人员配备少、工作经验少，没有胜任本工作的相应学历、职业资格的得3分；（4）对本项目配备的项目团队有明显缺陷且不满足采购需求的得1分；（5）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2021年12月1日至今（以合同签订日期为准），供应商每提供1份有效的类似项目业绩合同，得5分。本项最高得20分。 注：业绩以合同为准，项目业绩须附合同原件扫描件。</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详见附件：开标（报价）一览表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