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内蒙古自治区赤峰市三北工程林草湿荒一体化保护修复项目（广兴林场）</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克什克腾旗林业和草原局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赤峰永利工程项目管理有限公司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CFZCKTS-C-G-250007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赤峰永利工程项目管理有限公司</w:t>
      </w:r>
      <w:r>
        <w:rPr>
          <w:rFonts w:ascii="仿宋_GB2312" w:hAnsi="仿宋_GB2312" w:cs="仿宋_GB2312" w:eastAsia="仿宋_GB2312"/>
        </w:rPr>
        <w:t xml:space="preserve"> 受 </w:t>
      </w:r>
      <w:r>
        <w:rPr>
          <w:rFonts w:ascii="仿宋_GB2312" w:hAnsi="仿宋_GB2312" w:cs="仿宋_GB2312" w:eastAsia="仿宋_GB2312"/>
        </w:rPr>
        <w:t>克什克腾旗林业和草原局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内蒙古自治区赤峰市三北工程林草湿荒一体化保护修复项目（广兴林场）</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内蒙古自治区赤峰市三北工程林草湿荒一体化保护修复项目（广兴林场）</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CFZCKTS-C-G-250007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赤政采计划[2025]克旗00044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670,868.00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内蒙古自治区赤峰市三北工程林草湿荒一体化保护修复项目（广兴林场）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670,868.00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赤峰永利工程项目管理有限公司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内蒙古自治区赤峰市克什克腾旗经棚镇解放路东苑商住楼2层3号、22号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辛玲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15049925112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克什克腾旗林业和草原局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经棚镇解放路</w:t>
      </w:r>
    </w:p>
    <w:p>
      <w:pPr>
        <w:pStyle w:val="null5"/>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董学存</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13948646304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代理服务费收费标准：叁仟肆佰元整（3400.00元）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克什克腾旗林业和草原局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赤峰永利工程项目管理有限公司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中幼林抚育（落叶松修枝打叉）0.316万亩</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建设期2025年5月1日前完工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克什克腾旗广兴林场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 支付合同价款的100%（具体支付时间及金额，以当地财政拨款计划为准；），达到付款条件起7日，支付合同总金额的100.00%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标的名称：内蒙古自治区赤峰市三北工程林草湿荒一体化保护修复项目（广兴林场）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4"/>
                <w:b/>
              </w:rPr>
              <w:t>抚育对象</w:t>
            </w:r>
          </w:p>
          <w:p>
            <w:pPr>
              <w:pStyle w:val="null5"/>
              <w:spacing w:before="210"/>
              <w:ind w:left="120" w:firstLine="464"/>
              <w:jc w:val="both"/>
            </w:pPr>
            <w:r>
              <w:rPr>
                <w:rFonts w:ascii="仿宋_GB2312" w:hAnsi="仿宋_GB2312" w:cs="仿宋_GB2312" w:eastAsia="仿宋_GB2312"/>
                <w:sz w:val="24"/>
              </w:rPr>
              <w:t>地上出现枯枝</w:t>
            </w:r>
            <w:r>
              <w:rPr>
                <w:rFonts w:ascii="仿宋_GB2312" w:hAnsi="仿宋_GB2312" w:cs="仿宋_GB2312" w:eastAsia="仿宋_GB2312"/>
                <w:sz w:val="24"/>
              </w:rPr>
              <w:t>，</w:t>
            </w:r>
            <w:r>
              <w:rPr>
                <w:rFonts w:ascii="仿宋_GB2312" w:hAnsi="仿宋_GB2312" w:cs="仿宋_GB2312" w:eastAsia="仿宋_GB2312"/>
                <w:sz w:val="24"/>
              </w:rPr>
              <w:t>林分已经充分郁闭的</w:t>
            </w:r>
            <w:r>
              <w:rPr>
                <w:rFonts w:ascii="仿宋_GB2312" w:hAnsi="仿宋_GB2312" w:cs="仿宋_GB2312" w:eastAsia="仿宋_GB2312"/>
                <w:sz w:val="24"/>
              </w:rPr>
              <w:t>中幼龄林</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 xml:space="preserve"> </w:t>
            </w:r>
            <w:r>
              <w:rPr>
                <w:rFonts w:ascii="仿宋_GB2312" w:hAnsi="仿宋_GB2312" w:cs="仿宋_GB2312" w:eastAsia="仿宋_GB2312"/>
                <w:sz w:val="24"/>
              </w:rPr>
              <w:t>抚育技术</w:t>
            </w:r>
          </w:p>
          <w:p>
            <w:pPr>
              <w:pStyle w:val="null5"/>
              <w:ind w:firstLine="468"/>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抚育</w:t>
            </w:r>
            <w:r>
              <w:rPr>
                <w:rFonts w:ascii="仿宋_GB2312" w:hAnsi="仿宋_GB2312" w:cs="仿宋_GB2312" w:eastAsia="仿宋_GB2312"/>
                <w:sz w:val="24"/>
              </w:rPr>
              <w:t>形式</w:t>
            </w:r>
          </w:p>
          <w:p>
            <w:pPr>
              <w:pStyle w:val="null5"/>
              <w:ind w:firstLine="484"/>
              <w:jc w:val="both"/>
            </w:pPr>
            <w:r>
              <w:rPr>
                <w:rFonts w:ascii="仿宋_GB2312" w:hAnsi="仿宋_GB2312" w:cs="仿宋_GB2312" w:eastAsia="仿宋_GB2312"/>
                <w:sz w:val="24"/>
              </w:rPr>
              <w:t>鉴于抚育小班多为密度</w:t>
            </w:r>
            <w:r>
              <w:rPr>
                <w:rFonts w:ascii="仿宋_GB2312" w:hAnsi="仿宋_GB2312" w:cs="仿宋_GB2312" w:eastAsia="仿宋_GB2312"/>
                <w:sz w:val="24"/>
              </w:rPr>
              <w:t>较</w:t>
            </w:r>
            <w:r>
              <w:rPr>
                <w:rFonts w:ascii="仿宋_GB2312" w:hAnsi="仿宋_GB2312" w:cs="仿宋_GB2312" w:eastAsia="仿宋_GB2312"/>
                <w:sz w:val="24"/>
              </w:rPr>
              <w:t>大、林内通风透光条件差的中幼龄林，</w:t>
            </w:r>
            <w:r>
              <w:rPr>
                <w:rFonts w:ascii="仿宋_GB2312" w:hAnsi="仿宋_GB2312" w:cs="仿宋_GB2312" w:eastAsia="仿宋_GB2312"/>
                <w:sz w:val="24"/>
              </w:rPr>
              <w:t>因此设计</w:t>
            </w:r>
            <w:r>
              <w:rPr>
                <w:rFonts w:ascii="仿宋_GB2312" w:hAnsi="仿宋_GB2312" w:cs="仿宋_GB2312" w:eastAsia="仿宋_GB2312"/>
                <w:sz w:val="24"/>
              </w:rPr>
              <w:t>抚育方式</w:t>
            </w:r>
            <w:r>
              <w:rPr>
                <w:rFonts w:ascii="仿宋_GB2312" w:hAnsi="仿宋_GB2312" w:cs="仿宋_GB2312" w:eastAsia="仿宋_GB2312"/>
                <w:sz w:val="24"/>
              </w:rPr>
              <w:t>主要为</w:t>
            </w:r>
            <w:r>
              <w:rPr>
                <w:rFonts w:ascii="仿宋_GB2312" w:hAnsi="仿宋_GB2312" w:cs="仿宋_GB2312" w:eastAsia="仿宋_GB2312"/>
                <w:sz w:val="24"/>
              </w:rPr>
              <w:t>修枝、浇水</w:t>
            </w:r>
            <w:r>
              <w:rPr>
                <w:rFonts w:ascii="仿宋_GB2312" w:hAnsi="仿宋_GB2312" w:cs="仿宋_GB2312" w:eastAsia="仿宋_GB2312"/>
                <w:sz w:val="24"/>
              </w:rPr>
              <w:t>。</w:t>
            </w:r>
          </w:p>
          <w:p>
            <w:pPr>
              <w:pStyle w:val="null5"/>
              <w:ind w:firstLine="468"/>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）修枝对象</w:t>
            </w:r>
          </w:p>
          <w:p>
            <w:pPr>
              <w:pStyle w:val="null5"/>
              <w:ind w:firstLine="460"/>
              <w:jc w:val="both"/>
            </w:pPr>
            <w:r>
              <w:rPr>
                <w:rFonts w:ascii="仿宋_GB2312" w:hAnsi="仿宋_GB2312" w:cs="仿宋_GB2312" w:eastAsia="仿宋_GB2312"/>
                <w:sz w:val="24"/>
              </w:rPr>
              <w:t>主干明显、侧枝生长旺盛、自然整枝不好、影响通风透光的林木，</w:t>
            </w:r>
            <w:r>
              <w:rPr>
                <w:rFonts w:ascii="仿宋_GB2312" w:hAnsi="仿宋_GB2312" w:cs="仿宋_GB2312" w:eastAsia="仿宋_GB2312"/>
                <w:sz w:val="24"/>
              </w:rPr>
              <w:t>培育大径材的目标树或树体高大且其枝条妨碍目标树生长的其他树。</w:t>
            </w:r>
          </w:p>
          <w:p>
            <w:pPr>
              <w:pStyle w:val="null5"/>
              <w:ind w:firstLine="468"/>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）修枝强度</w:t>
            </w:r>
          </w:p>
          <w:p>
            <w:pPr>
              <w:pStyle w:val="null5"/>
              <w:ind w:firstLine="476"/>
              <w:jc w:val="both"/>
            </w:pPr>
            <w:r>
              <w:rPr>
                <w:rFonts w:ascii="仿宋_GB2312" w:hAnsi="仿宋_GB2312" w:cs="仿宋_GB2312" w:eastAsia="仿宋_GB2312"/>
                <w:sz w:val="24"/>
              </w:rPr>
              <w:t>幼龄林阶段修枝的高度不超过树高的</w:t>
            </w:r>
            <w:r>
              <w:rPr>
                <w:rFonts w:ascii="仿宋_GB2312" w:hAnsi="仿宋_GB2312" w:cs="仿宋_GB2312" w:eastAsia="仿宋_GB2312"/>
                <w:sz w:val="24"/>
              </w:rPr>
              <w:t>1/3，中龄林修枝的高度不超过树高的1/2。</w:t>
            </w:r>
          </w:p>
          <w:p>
            <w:pPr>
              <w:pStyle w:val="null5"/>
              <w:ind w:firstLine="468"/>
              <w:jc w:val="both"/>
            </w:pPr>
            <w:r>
              <w:rPr>
                <w:rFonts w:ascii="仿宋_GB2312" w:hAnsi="仿宋_GB2312" w:cs="仿宋_GB2312" w:eastAsia="仿宋_GB2312"/>
                <w:sz w:val="24"/>
              </w:rPr>
              <w:t>（</w:t>
            </w:r>
            <w:r>
              <w:rPr>
                <w:rFonts w:ascii="仿宋_GB2312" w:hAnsi="仿宋_GB2312" w:cs="仿宋_GB2312" w:eastAsia="仿宋_GB2312"/>
                <w:sz w:val="24"/>
              </w:rPr>
              <w:t>3）修枝时间</w:t>
            </w:r>
          </w:p>
          <w:p>
            <w:pPr>
              <w:pStyle w:val="null5"/>
              <w:ind w:firstLine="492"/>
              <w:jc w:val="both"/>
            </w:pPr>
            <w:r>
              <w:rPr>
                <w:rFonts w:ascii="仿宋_GB2312" w:hAnsi="仿宋_GB2312" w:cs="仿宋_GB2312" w:eastAsia="仿宋_GB2312"/>
                <w:sz w:val="24"/>
              </w:rPr>
              <w:t>可在春季</w:t>
            </w:r>
            <w:r>
              <w:rPr>
                <w:rFonts w:ascii="仿宋_GB2312" w:hAnsi="仿宋_GB2312" w:cs="仿宋_GB2312" w:eastAsia="仿宋_GB2312"/>
                <w:sz w:val="24"/>
              </w:rPr>
              <w:t>（次年</w:t>
            </w:r>
            <w:r>
              <w:rPr>
                <w:rFonts w:ascii="仿宋_GB2312" w:hAnsi="仿宋_GB2312" w:cs="仿宋_GB2312" w:eastAsia="仿宋_GB2312"/>
                <w:sz w:val="24"/>
              </w:rPr>
              <w:t>3月）萌发前修枝</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春季</w:t>
            </w:r>
            <w:r>
              <w:rPr>
                <w:rFonts w:ascii="仿宋_GB2312" w:hAnsi="仿宋_GB2312" w:cs="仿宋_GB2312" w:eastAsia="仿宋_GB2312"/>
                <w:sz w:val="24"/>
              </w:rPr>
              <w:t>完不成</w:t>
            </w:r>
            <w:r>
              <w:rPr>
                <w:rFonts w:ascii="仿宋_GB2312" w:hAnsi="仿宋_GB2312" w:cs="仿宋_GB2312" w:eastAsia="仿宋_GB2312"/>
                <w:sz w:val="24"/>
              </w:rPr>
              <w:t>可在</w:t>
            </w:r>
            <w:r>
              <w:rPr>
                <w:rFonts w:ascii="仿宋_GB2312" w:hAnsi="仿宋_GB2312" w:cs="仿宋_GB2312" w:eastAsia="仿宋_GB2312"/>
                <w:sz w:val="24"/>
              </w:rPr>
              <w:t>晚秋（</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11月）树液停止流动后修枝</w:t>
            </w:r>
            <w:r>
              <w:rPr>
                <w:rFonts w:ascii="仿宋_GB2312" w:hAnsi="仿宋_GB2312" w:cs="仿宋_GB2312" w:eastAsia="仿宋_GB2312"/>
                <w:sz w:val="24"/>
              </w:rPr>
              <w:t>。</w:t>
            </w:r>
          </w:p>
          <w:p>
            <w:pPr>
              <w:pStyle w:val="null5"/>
              <w:ind w:firstLine="468"/>
              <w:jc w:val="both"/>
            </w:pPr>
            <w:r>
              <w:rPr>
                <w:rFonts w:ascii="仿宋_GB2312" w:hAnsi="仿宋_GB2312" w:cs="仿宋_GB2312" w:eastAsia="仿宋_GB2312"/>
                <w:sz w:val="24"/>
              </w:rPr>
              <w:t>（</w:t>
            </w:r>
            <w:r>
              <w:rPr>
                <w:rFonts w:ascii="仿宋_GB2312" w:hAnsi="仿宋_GB2312" w:cs="仿宋_GB2312" w:eastAsia="仿宋_GB2312"/>
                <w:sz w:val="24"/>
              </w:rPr>
              <w:t>4）工艺流程</w:t>
            </w:r>
          </w:p>
          <w:p>
            <w:pPr>
              <w:pStyle w:val="null5"/>
              <w:ind w:firstLine="476"/>
              <w:jc w:val="center"/>
            </w:pPr>
            <w:r>
              <w:rPr>
                <w:rFonts w:ascii="仿宋_GB2312" w:hAnsi="仿宋_GB2312" w:cs="仿宋_GB2312" w:eastAsia="仿宋_GB2312"/>
                <w:sz w:val="24"/>
              </w:rPr>
              <w:t>树木标号</w:t>
            </w:r>
            <w:r>
              <w:rPr>
                <w:rFonts w:ascii="仿宋_GB2312" w:hAnsi="仿宋_GB2312" w:cs="仿宋_GB2312" w:eastAsia="仿宋_GB2312"/>
                <w:sz w:val="24"/>
              </w:rPr>
              <w:t>→修枝→打枝→剩余物收集归堆→场地清理。</w:t>
            </w:r>
          </w:p>
          <w:p>
            <w:pPr>
              <w:pStyle w:val="null5"/>
              <w:ind w:firstLine="480"/>
              <w:jc w:val="both"/>
            </w:pPr>
            <w:r>
              <w:rPr>
                <w:rFonts w:ascii="仿宋_GB2312" w:hAnsi="仿宋_GB2312" w:cs="仿宋_GB2312" w:eastAsia="仿宋_GB2312"/>
                <w:sz w:val="24"/>
              </w:rPr>
              <w:t>A.树木标号</w:t>
            </w:r>
          </w:p>
          <w:p>
            <w:pPr>
              <w:pStyle w:val="null5"/>
              <w:ind w:firstLine="496"/>
              <w:jc w:val="both"/>
            </w:pPr>
            <w:r>
              <w:rPr>
                <w:rFonts w:ascii="仿宋_GB2312" w:hAnsi="仿宋_GB2312" w:cs="仿宋_GB2312" w:eastAsia="仿宋_GB2312"/>
                <w:sz w:val="24"/>
              </w:rPr>
              <w:t>修枝前，作业人员在技术人员的指导下，依据作业设计</w:t>
            </w:r>
            <w:r>
              <w:rPr>
                <w:rFonts w:ascii="仿宋_GB2312" w:hAnsi="仿宋_GB2312" w:cs="仿宋_GB2312" w:eastAsia="仿宋_GB2312"/>
                <w:sz w:val="24"/>
              </w:rPr>
              <w:t>，按幼龄林阶段修枝的高度不超过树高的</w:t>
            </w:r>
            <w:r>
              <w:rPr>
                <w:rFonts w:ascii="仿宋_GB2312" w:hAnsi="仿宋_GB2312" w:cs="仿宋_GB2312" w:eastAsia="仿宋_GB2312"/>
                <w:sz w:val="24"/>
              </w:rPr>
              <w:t>1/3，中龄林修枝的高度不超过树高的1/2</w:t>
            </w:r>
            <w:r>
              <w:rPr>
                <w:rFonts w:ascii="仿宋_GB2312" w:hAnsi="仿宋_GB2312" w:cs="仿宋_GB2312" w:eastAsia="仿宋_GB2312"/>
                <w:sz w:val="24"/>
              </w:rPr>
              <w:t>的要求和</w:t>
            </w:r>
            <w:r>
              <w:rPr>
                <w:rFonts w:ascii="仿宋_GB2312" w:hAnsi="仿宋_GB2312" w:cs="仿宋_GB2312" w:eastAsia="仿宋_GB2312"/>
                <w:sz w:val="24"/>
              </w:rPr>
              <w:t>“适度修枝”的原则，用</w:t>
            </w:r>
            <w:r>
              <w:rPr>
                <w:rFonts w:ascii="仿宋_GB2312" w:hAnsi="仿宋_GB2312" w:cs="仿宋_GB2312" w:eastAsia="仿宋_GB2312"/>
                <w:sz w:val="24"/>
              </w:rPr>
              <w:t>白</w:t>
            </w:r>
            <w:r>
              <w:rPr>
                <w:rFonts w:ascii="仿宋_GB2312" w:hAnsi="仿宋_GB2312" w:cs="仿宋_GB2312" w:eastAsia="仿宋_GB2312"/>
                <w:sz w:val="24"/>
              </w:rPr>
              <w:t>油漆对修枝对象和修枝高度逐株标号。</w:t>
            </w:r>
          </w:p>
          <w:p>
            <w:pPr>
              <w:pStyle w:val="null5"/>
              <w:ind w:firstLine="476"/>
              <w:jc w:val="both"/>
            </w:pPr>
            <w:r>
              <w:rPr>
                <w:rFonts w:ascii="仿宋_GB2312" w:hAnsi="仿宋_GB2312" w:cs="仿宋_GB2312" w:eastAsia="仿宋_GB2312"/>
                <w:sz w:val="24"/>
              </w:rPr>
              <w:t>B.修枝</w:t>
            </w:r>
          </w:p>
          <w:p>
            <w:pPr>
              <w:pStyle w:val="null5"/>
              <w:ind w:firstLine="496"/>
              <w:jc w:val="both"/>
            </w:pPr>
            <w:r>
              <w:rPr>
                <w:rFonts w:ascii="仿宋_GB2312" w:hAnsi="仿宋_GB2312" w:cs="仿宋_GB2312" w:eastAsia="仿宋_GB2312"/>
                <w:sz w:val="24"/>
              </w:rPr>
              <w:t>用油锯、果枝剪、大力剪、修枝锯、斧头或弯刀等</w:t>
            </w:r>
            <w:r>
              <w:rPr>
                <w:rFonts w:ascii="仿宋_GB2312" w:hAnsi="仿宋_GB2312" w:cs="仿宋_GB2312" w:eastAsia="仿宋_GB2312"/>
                <w:sz w:val="24"/>
              </w:rPr>
              <w:t>工具，平贴树</w:t>
            </w:r>
            <w:r>
              <w:rPr>
                <w:rFonts w:ascii="仿宋_GB2312" w:hAnsi="仿宋_GB2312" w:cs="仿宋_GB2312" w:eastAsia="仿宋_GB2312"/>
                <w:sz w:val="24"/>
              </w:rPr>
              <w:t>干锯下或砍下修树高度标号以下的枯死枝及部分活枝。</w:t>
            </w:r>
          </w:p>
          <w:p>
            <w:pPr>
              <w:pStyle w:val="null5"/>
              <w:ind w:firstLine="468"/>
              <w:jc w:val="both"/>
            </w:pPr>
            <w:r>
              <w:rPr>
                <w:rFonts w:ascii="仿宋_GB2312" w:hAnsi="仿宋_GB2312" w:cs="仿宋_GB2312" w:eastAsia="仿宋_GB2312"/>
                <w:sz w:val="24"/>
              </w:rPr>
              <w:t>C.打枝</w:t>
            </w:r>
          </w:p>
          <w:p>
            <w:pPr>
              <w:pStyle w:val="null5"/>
              <w:ind w:firstLine="480"/>
              <w:jc w:val="both"/>
            </w:pPr>
            <w:r>
              <w:rPr>
                <w:rFonts w:ascii="仿宋_GB2312" w:hAnsi="仿宋_GB2312" w:cs="仿宋_GB2312" w:eastAsia="仿宋_GB2312"/>
                <w:sz w:val="24"/>
              </w:rPr>
              <w:t>将修下的大于等于</w:t>
            </w:r>
            <w:r>
              <w:rPr>
                <w:rFonts w:ascii="仿宋_GB2312" w:hAnsi="仿宋_GB2312" w:cs="仿宋_GB2312" w:eastAsia="仿宋_GB2312"/>
                <w:sz w:val="24"/>
              </w:rPr>
              <w:t>4cm以上的粗大枝条的全部枝丫从根部</w:t>
            </w:r>
            <w:r>
              <w:rPr>
                <w:rFonts w:ascii="仿宋_GB2312" w:hAnsi="仿宋_GB2312" w:cs="仿宋_GB2312" w:eastAsia="仿宋_GB2312"/>
                <w:sz w:val="24"/>
              </w:rPr>
              <w:t>开始向</w:t>
            </w:r>
            <w:r>
              <w:rPr>
                <w:rFonts w:ascii="仿宋_GB2312" w:hAnsi="仿宋_GB2312" w:cs="仿宋_GB2312" w:eastAsia="仿宋_GB2312"/>
                <w:sz w:val="24"/>
              </w:rPr>
              <w:t>梢头依次打技</w:t>
            </w:r>
            <w:r>
              <w:rPr>
                <w:rFonts w:ascii="仿宋_GB2312" w:hAnsi="仿宋_GB2312" w:cs="仿宋_GB2312" w:eastAsia="仿宋_GB2312"/>
                <w:sz w:val="24"/>
              </w:rPr>
              <w:t>6</w:t>
            </w:r>
            <w:r>
              <w:rPr>
                <w:rFonts w:ascii="仿宋_GB2312" w:hAnsi="仿宋_GB2312" w:cs="仿宋_GB2312" w:eastAsia="仿宋_GB2312"/>
                <w:sz w:val="24"/>
              </w:rPr>
              <w:t>cm</w:t>
            </w:r>
            <w:r>
              <w:rPr>
                <w:rFonts w:ascii="仿宋_GB2312" w:hAnsi="仿宋_GB2312" w:cs="仿宋_GB2312" w:eastAsia="仿宋_GB2312"/>
                <w:sz w:val="24"/>
              </w:rPr>
              <w:t>处，归楞后运出场外利用。</w:t>
            </w:r>
            <w:r>
              <w:rPr>
                <w:rFonts w:ascii="仿宋_GB2312" w:hAnsi="仿宋_GB2312" w:cs="仿宋_GB2312" w:eastAsia="仿宋_GB2312"/>
                <w:sz w:val="24"/>
              </w:rPr>
              <w:t>其他枝丫同样成段。</w:t>
            </w:r>
          </w:p>
          <w:p>
            <w:pPr>
              <w:pStyle w:val="null5"/>
              <w:ind w:firstLine="476"/>
              <w:jc w:val="both"/>
            </w:pPr>
            <w:r>
              <w:rPr>
                <w:rFonts w:ascii="仿宋_GB2312" w:hAnsi="仿宋_GB2312" w:cs="仿宋_GB2312" w:eastAsia="仿宋_GB2312"/>
                <w:sz w:val="24"/>
              </w:rPr>
              <w:t>D.剩余物收集归堆</w:t>
            </w:r>
          </w:p>
          <w:p>
            <w:pPr>
              <w:pStyle w:val="null5"/>
              <w:ind w:firstLine="496"/>
              <w:jc w:val="both"/>
            </w:pPr>
            <w:r>
              <w:rPr>
                <w:rFonts w:ascii="仿宋_GB2312" w:hAnsi="仿宋_GB2312" w:cs="仿宋_GB2312" w:eastAsia="仿宋_GB2312"/>
                <w:sz w:val="24"/>
              </w:rPr>
              <w:t>打枝结束后，将抚育剩余物收集归堆，平行于</w:t>
            </w:r>
            <w:r>
              <w:rPr>
                <w:rFonts w:ascii="仿宋_GB2312" w:hAnsi="仿宋_GB2312" w:cs="仿宋_GB2312" w:eastAsia="仿宋_GB2312"/>
                <w:sz w:val="24"/>
              </w:rPr>
              <w:t>等高线放置，保持</w:t>
            </w:r>
            <w:r>
              <w:rPr>
                <w:rFonts w:ascii="仿宋_GB2312" w:hAnsi="仿宋_GB2312" w:cs="仿宋_GB2312" w:eastAsia="仿宋_GB2312"/>
                <w:sz w:val="24"/>
              </w:rPr>
              <w:t>林地卫生。归集高度不宜超过</w:t>
            </w:r>
            <w:r>
              <w:rPr>
                <w:rFonts w:ascii="仿宋_GB2312" w:hAnsi="仿宋_GB2312" w:cs="仿宋_GB2312" w:eastAsia="仿宋_GB2312"/>
                <w:sz w:val="24"/>
              </w:rPr>
              <w:t>1.5m。</w:t>
            </w:r>
          </w:p>
          <w:p>
            <w:pPr>
              <w:pStyle w:val="null5"/>
              <w:ind w:firstLine="476"/>
              <w:jc w:val="both"/>
            </w:pPr>
            <w:r>
              <w:rPr>
                <w:rFonts w:ascii="仿宋_GB2312" w:hAnsi="仿宋_GB2312" w:cs="仿宋_GB2312" w:eastAsia="仿宋_GB2312"/>
                <w:sz w:val="24"/>
              </w:rPr>
              <w:t>E.场地清理</w:t>
            </w:r>
          </w:p>
          <w:p>
            <w:pPr>
              <w:pStyle w:val="null5"/>
              <w:ind w:firstLine="496"/>
              <w:jc w:val="both"/>
            </w:pPr>
            <w:r>
              <w:rPr>
                <w:rFonts w:ascii="仿宋_GB2312" w:hAnsi="仿宋_GB2312" w:cs="仿宋_GB2312" w:eastAsia="仿宋_GB2312"/>
                <w:sz w:val="24"/>
              </w:rPr>
              <w:t>工作结束后，有条件的地方，可将抚育剩余物运</w:t>
            </w:r>
            <w:r>
              <w:rPr>
                <w:rFonts w:ascii="仿宋_GB2312" w:hAnsi="仿宋_GB2312" w:cs="仿宋_GB2312" w:eastAsia="仿宋_GB2312"/>
                <w:sz w:val="24"/>
              </w:rPr>
              <w:t>出作业小班回收</w:t>
            </w:r>
            <w:r>
              <w:rPr>
                <w:rFonts w:ascii="仿宋_GB2312" w:hAnsi="仿宋_GB2312" w:cs="仿宋_GB2312" w:eastAsia="仿宋_GB2312"/>
                <w:sz w:val="21"/>
              </w:rPr>
              <w:t xml:space="preserve"> </w:t>
            </w:r>
            <w:r>
              <w:rPr>
                <w:rFonts w:ascii="仿宋_GB2312" w:hAnsi="仿宋_GB2312" w:cs="仿宋_GB2312" w:eastAsia="仿宋_GB2312"/>
                <w:sz w:val="24"/>
              </w:rPr>
              <w:t>利用，达到节约资源和能源的目</w:t>
            </w:r>
            <w:r>
              <w:rPr>
                <w:rFonts w:ascii="仿宋_GB2312" w:hAnsi="仿宋_GB2312" w:cs="仿宋_GB2312" w:eastAsia="仿宋_GB2312"/>
                <w:sz w:val="24"/>
              </w:rPr>
              <w:t>的，不能利用的剩余物堆成垛放置在林班边缘</w:t>
            </w:r>
            <w:r>
              <w:rPr>
                <w:rFonts w:ascii="仿宋_GB2312" w:hAnsi="仿宋_GB2312" w:cs="仿宋_GB2312" w:eastAsia="仿宋_GB2312"/>
                <w:sz w:val="24"/>
              </w:rPr>
              <w:t>。</w:t>
            </w:r>
          </w:p>
          <w:p>
            <w:pPr>
              <w:pStyle w:val="null5"/>
              <w:ind w:firstLine="468"/>
              <w:jc w:val="both"/>
            </w:pPr>
            <w:r>
              <w:rPr>
                <w:rFonts w:ascii="仿宋_GB2312" w:hAnsi="仿宋_GB2312" w:cs="仿宋_GB2312" w:eastAsia="仿宋_GB2312"/>
                <w:sz w:val="24"/>
              </w:rPr>
              <w:t>（</w:t>
            </w:r>
            <w:r>
              <w:rPr>
                <w:rFonts w:ascii="仿宋_GB2312" w:hAnsi="仿宋_GB2312" w:cs="仿宋_GB2312" w:eastAsia="仿宋_GB2312"/>
                <w:sz w:val="24"/>
              </w:rPr>
              <w:t>5）技术要求</w:t>
            </w:r>
          </w:p>
          <w:p>
            <w:pPr>
              <w:pStyle w:val="null5"/>
              <w:ind w:firstLine="468"/>
              <w:jc w:val="both"/>
            </w:pPr>
            <w:r>
              <w:rPr>
                <w:rFonts w:ascii="仿宋_GB2312" w:hAnsi="仿宋_GB2312" w:cs="仿宋_GB2312" w:eastAsia="仿宋_GB2312"/>
                <w:sz w:val="24"/>
              </w:rPr>
              <w:t>A</w:t>
            </w:r>
            <w:r>
              <w:rPr>
                <w:rFonts w:ascii="仿宋_GB2312" w:hAnsi="仿宋_GB2312" w:cs="仿宋_GB2312" w:eastAsia="仿宋_GB2312"/>
                <w:sz w:val="24"/>
              </w:rPr>
              <w:t>.剪口留桩高度不高于1.5cm</w:t>
            </w:r>
            <w:r>
              <w:rPr>
                <w:rFonts w:ascii="仿宋_GB2312" w:hAnsi="仿宋_GB2312" w:cs="仿宋_GB2312" w:eastAsia="仿宋_GB2312"/>
                <w:sz w:val="21"/>
              </w:rPr>
              <w:t xml:space="preserve"> </w:t>
            </w:r>
            <w:r>
              <w:rPr>
                <w:rFonts w:ascii="仿宋_GB2312" w:hAnsi="仿宋_GB2312" w:cs="仿宋_GB2312" w:eastAsia="仿宋_GB2312"/>
                <w:sz w:val="24"/>
              </w:rPr>
              <w:t>，切口与枝条垂直；</w:t>
            </w:r>
          </w:p>
          <w:p>
            <w:pPr>
              <w:pStyle w:val="null5"/>
              <w:ind w:firstLine="480"/>
              <w:jc w:val="both"/>
            </w:pPr>
            <w:r>
              <w:rPr>
                <w:rFonts w:ascii="仿宋_GB2312" w:hAnsi="仿宋_GB2312" w:cs="仿宋_GB2312" w:eastAsia="仿宋_GB2312"/>
                <w:sz w:val="24"/>
              </w:rPr>
              <w:t>B</w:t>
            </w:r>
            <w:r>
              <w:rPr>
                <w:rFonts w:ascii="仿宋_GB2312" w:hAnsi="仿宋_GB2312" w:cs="仿宋_GB2312" w:eastAsia="仿宋_GB2312"/>
                <w:sz w:val="24"/>
              </w:rPr>
              <w:t>.剪口不能伤害树干的韧皮部和木质部。</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抚育后管护</w:t>
            </w:r>
          </w:p>
          <w:p>
            <w:pPr>
              <w:pStyle w:val="null5"/>
              <w:ind w:firstLine="456"/>
              <w:jc w:val="both"/>
            </w:pPr>
            <w:r>
              <w:rPr>
                <w:rFonts w:ascii="仿宋_GB2312" w:hAnsi="仿宋_GB2312" w:cs="仿宋_GB2312" w:eastAsia="仿宋_GB2312"/>
                <w:sz w:val="24"/>
              </w:rPr>
              <w:t>开展病虫害和林火监测，加强管护。严禁人为毁林，防止牲畜啃食幼苗幼树、践踏破坏林下植被。</w:t>
            </w:r>
          </w:p>
          <w:p>
            <w:pPr>
              <w:pStyle w:val="null5"/>
              <w:ind w:firstLine="482"/>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乙方</w:t>
            </w:r>
            <w:r>
              <w:rPr>
                <w:rFonts w:ascii="仿宋_GB2312" w:hAnsi="仿宋_GB2312" w:cs="仿宋_GB2312" w:eastAsia="仿宋_GB2312"/>
                <w:sz w:val="24"/>
                <w:b/>
              </w:rPr>
              <w:t>完全</w:t>
            </w:r>
            <w:r>
              <w:rPr>
                <w:rFonts w:ascii="仿宋_GB2312" w:hAnsi="仿宋_GB2312" w:cs="仿宋_GB2312" w:eastAsia="仿宋_GB2312"/>
                <w:sz w:val="24"/>
                <w:b/>
              </w:rPr>
              <w:t>负责施工过程中的人身安全、</w:t>
            </w:r>
            <w:r>
              <w:rPr>
                <w:rFonts w:ascii="仿宋_GB2312" w:hAnsi="仿宋_GB2312" w:cs="仿宋_GB2312" w:eastAsia="仿宋_GB2312"/>
                <w:sz w:val="24"/>
                <w:b/>
              </w:rPr>
              <w:t>施工安全、</w:t>
            </w:r>
            <w:r>
              <w:rPr>
                <w:rFonts w:ascii="仿宋_GB2312" w:hAnsi="仿宋_GB2312" w:cs="仿宋_GB2312" w:eastAsia="仿宋_GB2312"/>
                <w:sz w:val="24"/>
                <w:b/>
              </w:rPr>
              <w:t>防火</w:t>
            </w:r>
            <w:r>
              <w:rPr>
                <w:rFonts w:ascii="仿宋_GB2312" w:hAnsi="仿宋_GB2312" w:cs="仿宋_GB2312" w:eastAsia="仿宋_GB2312"/>
                <w:sz w:val="24"/>
                <w:b/>
              </w:rPr>
              <w:t>安全等</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如出现安全事故由乙方全数负责。</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提供以下任意一种均可：（1）投标人2023年度经会计师事务所出具的财务审计报告；（2）投标人基本开户银行近一年内出具的银行资信证明。（3）提供“具有良好的商业信誉和健全的财务会计制度”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投标人提供以下任意一种均可：（1）须同时提供递交投标文件截止之日前一年内至少一个月的：①缴纳税收的相关凭据（税务机关提供的纳税凭据或银行入账单）； ②缴纳社会保险的凭证（专用收据或社会保险缴纳清单或其它缴纳凭证）；（2）提供“具有依法缴纳税收和社会保障资金的良好记录”承诺函（格式自拟）注：a、其他组织和自然人也需要提供上述证明材料。 b、依法免税或不需要缴纳社会保障资金的投标人，提供相应证明材料或说明材料，无须提供上述证明材料。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w:t>
            </w:r>
          </w:p>
        </w:tc>
        <w:tc>
          <w:tcPr>
            <w:tcW w:type="dxa" w:w="3115"/>
          </w:tcPr>
          <w:p>
            <w:pPr>
              <w:pStyle w:val="null5"/>
              <w:jc w:val="left"/>
            </w:pPr>
            <w:r>
              <w:rPr>
                <w:rFonts w:ascii="仿宋_GB2312" w:hAnsi="仿宋_GB2312" w:cs="仿宋_GB2312" w:eastAsia="仿宋_GB2312"/>
              </w:rPr>
              <w:t>根据供应商提供的针对本项目制定的施工组织设计进行评审，包括施工准 备、分部分项工程施工方案、施工工艺及方法、档案资料管理。①内容非常全面、方案科学、有针对性，合理可行，措施得当得15分； ②内容较为全面、方案较为科学、针对性较强，措施较为得当得12分； ③对于项目情况基本了解，并有基本认识，基本合理可行，措施基本可行得9分； ④对于项目情况一般了解，并有一般认识，措施一般得6分； ⑤对于本项目情况了解模糊，制定相应技术措施，措施较差得3分； ⑥不符合磋商文件需求或未提供不得分。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视供应商提供的质量管理体系与措施进行评价，内容包含质量目标满足竞 争性磋商文件要求，具有质量控制计划、岗位责任、材料采购、过程控制 及检验、分项措施。 ①内容非常全面、方案科学、有针对性，合理可行，措施得当得15分； ②内容较为全面、方案较为科学、针对性较强，措施较为得当得12分； ③对于项目情况基本了解，并有基本认识，基本合理可行，措施基本可行得9分； ④对于项目情况一般了解，并有一般认识，措施一般得6分； ⑤对于本项目情况了解模糊，制定相应技术措施，措施较差得3分； ⑥不符合磋商文件需求或未提供不得分。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视供应商提供的安全管理体系与措施进行评价，内容包含安全文明施工目 标满足竞争性磋商文件要求，具有安全管理体系、防护措施，单位工程安 全防护方案符合国家及地方管理规定。①内容非常全面、方案科学、有针对性，合理可行，措施得当得10分； ②内容较为全面、方案较为科学、针对性较强，措施较为得当得7分； ③对于项目情况基本了解，并有基本认识，基本合理可行，措施基本可行得5分； ④对于项目情况一般了解，并有一般认识，措施一般得3分； ⑤对于本项目情况了解模糊，制定相应技术措施，措施较差得1分； ⑥不符合磋商文件需求或未提供不得分。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视供应商提供的工程进度计划与措施进行评价，内容包含施工工期满足竞 争性磋商文件要求，施工进度计划，措施及网络图设置。 ①进度控制措施内容非常完善、合理，完全满足本项目需求得10分； ②进度控制措施内容比较完善、合理，能够满足本项目需求得7分； ③进度控制措施内容基本完善、基本合理，基本满足本项目需求得5分； ④进度控制措施内容一般、满足本项目部分需求得3分； ⑤进度控制措施内容粗略，可行性差得1分； ⑥不符合磋商文件需求或未提供不得分。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视供应商提供的环保管理体系与措施进行评价，内容包含环境保护管理体 系、污染物处理及排放符合国家及地方环境保护标准、技术及管理措施。 ①环境保护管理体系计划与措施内容非常完善、合理，完全满足本项目需求得10分； ②环境保护管理体系计划与措施内容比较完善、合理，能够满足本项目需求得7分； ③环境保护管理体系计划与措施内容基本完善、基本合理，基本满足本项目需求得5分； ④环境保护管理体系计划与措施内容一般、满足本项目部分需求得3分； ⑤环境保护管理体系计划与措施内容粗略，可行性差得1分； ⑥不符合磋商文件需求或未提供不得分。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视供应商提供的资源配备计划进行评价，内容包含机械设备、劳动力、施 工机具、架料、模板及安全防护用品满足工程进度及施工管理。 ①根据资源配备计划内容非常完整明确，完全满足本项目需求及进度得10分； ②资源配备计划内容比较完善合理，能够满足本项目需求及进度得7分； ③资源配备计划内容基本完善合理，基本满足本项目需求得5分； ④资源配备计划内容一般，满足本项目部分需求得3分； ⑤资源配备计划内容粗略，计划措施不完善得1分； ⑥不符合磋商文件需求或未提供不得分。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根据应急方案进行评定，内容需包含但不限于突发事件（如大风、暴雨、火灾）应对措施、安全事故应急措施。 ①应急方案内容非常全面、应急处理措施非常得当得10分； ②应急方案内容较为全面、应急处理措施较为得当得7分； ③应急方案内容基本全面、应急处理措施基本得当得5分； ④应急方案内容不够详尽完整、操作性不强得3分； ⑤应急方案内容表述较差、可操作性差得1分 ⑥不符合磋商文件需求或未提供不得分。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不拖欠农牧民工工资承诺函</w:t>
            </w:r>
          </w:p>
        </w:tc>
        <w:tc>
          <w:tcPr>
            <w:tcW w:type="dxa" w:w="3115"/>
          </w:tcPr>
          <w:p>
            <w:pPr>
              <w:pStyle w:val="null5"/>
              <w:jc w:val="left"/>
            </w:pPr>
            <w:r>
              <w:rPr>
                <w:rFonts w:ascii="仿宋_GB2312" w:hAnsi="仿宋_GB2312" w:cs="仿宋_GB2312" w:eastAsia="仿宋_GB2312"/>
              </w:rPr>
              <w:t>审查供应商提供不拖欠农民工工资承诺书(格式自拟)进行评审，确保及时、足额的向所雇佣的人员支付劳动报酬，并制定严格的工人工资支付保障措施，本项最多得 10分，不提供不得分.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