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内蒙古自治区赤峰市三北工程林草湿荒一体化保护修复项目（黄榆沟林场）</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克什克腾旗林业和草原局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赤峰永利工程项目管理有限公司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CFZCKTS-C-G-250008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赤峰永利工程项目管理有限公司</w:t>
      </w:r>
      <w:r>
        <w:rPr>
          <w:rFonts w:ascii="仿宋_GB2312" w:hAnsi="仿宋_GB2312" w:cs="仿宋_GB2312" w:eastAsia="仿宋_GB2312"/>
        </w:rPr>
        <w:t xml:space="preserve"> 受 </w:t>
      </w:r>
      <w:r>
        <w:rPr>
          <w:rFonts w:ascii="仿宋_GB2312" w:hAnsi="仿宋_GB2312" w:cs="仿宋_GB2312" w:eastAsia="仿宋_GB2312"/>
        </w:rPr>
        <w:t>克什克腾旗林业和草原局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内蒙古自治区赤峰市三北工程林草湿荒一体化保护修复项目（黄榆沟林场）</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内蒙古自治区赤峰市三北工程林草湿荒一体化保护修复项目（黄榆沟林场）</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CFZCKTS-C-G-250008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赤政采计划[2025]克旗00045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1,507,330.00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内蒙古自治区赤峰市三北工程林草湿荒一体化保护修复项目（黄榆沟林场）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1,507,330.00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赤峰永利工程项目管理有限公司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内蒙古自治区赤峰市克什克腾旗经棚镇解放路东苑商住楼2层3号、22号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辛玲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15049925112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克什克腾旗林业和草原局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经棚镇解放路</w:t>
      </w:r>
    </w:p>
    <w:p>
      <w:pPr>
        <w:pStyle w:val="null5"/>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董学存</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13948646304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代理服务费收费标准：柒仟陆佰元整（7600.00元）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克什克腾旗林业和草原局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赤峰永利工程项目管理有限公司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人工灌木平茬0.71万亩</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建设期2025年12月31日前完工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克什克腾旗黄榆沟林场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 支付合同价款的100%（具体支付时间及金额，以当地财政拨款计划为准；），达到付款条件起7日，支付合同总金额的100.00%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标的名称：内蒙古自治区赤峰市三北工程林草湿荒一体化保护修复项目（黄榆沟林场）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适宜条件</w:t>
            </w:r>
          </w:p>
          <w:p>
            <w:pPr>
              <w:pStyle w:val="null5"/>
              <w:ind w:firstLine="480"/>
              <w:jc w:val="both"/>
            </w:pPr>
            <w:r>
              <w:rPr>
                <w:rFonts w:ascii="仿宋_GB2312" w:hAnsi="仿宋_GB2312" w:cs="仿宋_GB2312" w:eastAsia="仿宋_GB2312"/>
                <w:sz w:val="24"/>
              </w:rPr>
              <w:t>A.</w:t>
            </w:r>
            <w:r>
              <w:rPr>
                <w:rFonts w:ascii="仿宋_GB2312" w:hAnsi="仿宋_GB2312" w:cs="仿宋_GB2312" w:eastAsia="仿宋_GB2312"/>
                <w:sz w:val="24"/>
              </w:rPr>
              <w:t>对遭受严重自然灾害，死亡木和濒死木株数比例大于</w:t>
            </w:r>
            <w:r>
              <w:rPr>
                <w:rFonts w:ascii="仿宋_GB2312" w:hAnsi="仿宋_GB2312" w:cs="仿宋_GB2312" w:eastAsia="仿宋_GB2312"/>
                <w:sz w:val="24"/>
              </w:rPr>
              <w:t>20%，或发生林业检疫性有害生物灾害，短期内难以恢复健康的国家特别规定的灌木林；未及时平茬，或过度放牧、啃食等因素，造成生长势衰弱、生态功能持续性下降的国家特别规定的灌木林采取平茬复壮。</w:t>
            </w:r>
          </w:p>
          <w:p>
            <w:pPr>
              <w:pStyle w:val="null5"/>
              <w:ind w:firstLine="480"/>
              <w:jc w:val="both"/>
            </w:pPr>
            <w:r>
              <w:rPr>
                <w:rFonts w:ascii="仿宋_GB2312" w:hAnsi="仿宋_GB2312" w:cs="仿宋_GB2312" w:eastAsia="仿宋_GB2312"/>
                <w:sz w:val="24"/>
              </w:rPr>
              <w:t>B.生长势减弱未达到退化程度，通过平茬复壮提高林木经济、生态和社会效益。</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修复对象：柠条和黄柳</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3）等级：非退化林、一般退化、重度退化。</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）平茬时间：分两次，首次</w:t>
            </w:r>
            <w:r>
              <w:rPr>
                <w:rFonts w:ascii="仿宋_GB2312" w:hAnsi="仿宋_GB2312" w:cs="仿宋_GB2312" w:eastAsia="仿宋_GB2312"/>
                <w:sz w:val="24"/>
              </w:rPr>
              <w:t>2-3月，第二次11-12月完成。</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）平茬强度：</w:t>
            </w:r>
            <w:r>
              <w:rPr>
                <w:rFonts w:ascii="仿宋_GB2312" w:hAnsi="仿宋_GB2312" w:cs="仿宋_GB2312" w:eastAsia="仿宋_GB2312"/>
                <w:sz w:val="24"/>
              </w:rPr>
              <w:t>平茬强度：单次平茬强度</w:t>
            </w:r>
            <w:r>
              <w:rPr>
                <w:rFonts w:ascii="仿宋_GB2312" w:hAnsi="仿宋_GB2312" w:cs="仿宋_GB2312" w:eastAsia="仿宋_GB2312"/>
                <w:sz w:val="24"/>
              </w:rPr>
              <w:t>50%。</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6）平茬工具：对于作业面积较大地区，宜选用自走式灌木联合收割机，切割结构选用圆盘锯，变速箱选用行走式封闭变速箱。</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平茬时间：分两次，首次</w:t>
            </w:r>
            <w:r>
              <w:rPr>
                <w:rFonts w:ascii="仿宋_GB2312" w:hAnsi="仿宋_GB2312" w:cs="仿宋_GB2312" w:eastAsia="仿宋_GB2312"/>
                <w:sz w:val="24"/>
              </w:rPr>
              <w:t>2-3月，第二次11-12月完成</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开发利用：用普通的饲草切碎机把柠条切短、切碎，或利用饲料粉碎机或秸秆揉搓机对柠条进行粉碎后，根据需要可直接制成草粉、饼状、块状饲料，还可以与其他秸秆混合制成混合饲料，饲喂牛、羊，还可以通过粉碎致密成型技术进行前期处理工序，达到成型燃料的加工要求，形成柠条燃料块。</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8）剩余物的处理：对不能开发利用剩余物要清除至平茬地块外。</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灌木林平茬典型模式</w:t>
            </w:r>
          </w:p>
          <w:p>
            <w:pPr>
              <w:pStyle w:val="null5"/>
              <w:ind w:firstLine="480"/>
              <w:jc w:val="both"/>
            </w:pPr>
            <w:r>
              <w:rPr>
                <w:rFonts w:ascii="仿宋_GB2312" w:hAnsi="仿宋_GB2312" w:cs="仿宋_GB2312" w:eastAsia="仿宋_GB2312"/>
                <w:sz w:val="24"/>
              </w:rPr>
              <w:t>A.平茬对象：主要为柠条和黄柳等灌木林。</w:t>
            </w:r>
          </w:p>
          <w:p>
            <w:pPr>
              <w:pStyle w:val="null5"/>
              <w:ind w:firstLine="480"/>
              <w:jc w:val="both"/>
            </w:pPr>
            <w:r>
              <w:rPr>
                <w:rFonts w:ascii="仿宋_GB2312" w:hAnsi="仿宋_GB2312" w:cs="仿宋_GB2312" w:eastAsia="仿宋_GB2312"/>
                <w:sz w:val="24"/>
              </w:rPr>
              <w:t>B.平茬时间：在休眠期进行，分两次，首次2-3月，第二次11-12月完成。</w:t>
            </w:r>
          </w:p>
          <w:p>
            <w:pPr>
              <w:pStyle w:val="null5"/>
              <w:ind w:firstLine="480"/>
              <w:jc w:val="both"/>
            </w:pPr>
            <w:r>
              <w:rPr>
                <w:rFonts w:ascii="仿宋_GB2312" w:hAnsi="仿宋_GB2312" w:cs="仿宋_GB2312" w:eastAsia="仿宋_GB2312"/>
                <w:sz w:val="24"/>
              </w:rPr>
              <w:t>C.平茬强度：单次平茬强度50%。</w:t>
            </w:r>
          </w:p>
          <w:p>
            <w:pPr>
              <w:pStyle w:val="null5"/>
              <w:ind w:firstLine="480"/>
              <w:jc w:val="both"/>
            </w:pPr>
            <w:r>
              <w:rPr>
                <w:rFonts w:ascii="仿宋_GB2312" w:hAnsi="仿宋_GB2312" w:cs="仿宋_GB2312" w:eastAsia="仿宋_GB2312"/>
                <w:sz w:val="24"/>
              </w:rPr>
              <w:t>D.留茬高度：平茬时，一般紧贴地面5-10厘米，留茬过高易受风沙吹蚀，不利于来年萌蘖抽条。</w:t>
            </w:r>
          </w:p>
          <w:p>
            <w:pPr>
              <w:pStyle w:val="null5"/>
              <w:ind w:firstLine="480"/>
              <w:jc w:val="both"/>
            </w:pPr>
            <w:r>
              <w:rPr>
                <w:rFonts w:ascii="仿宋_GB2312" w:hAnsi="仿宋_GB2312" w:cs="仿宋_GB2312" w:eastAsia="仿宋_GB2312"/>
                <w:sz w:val="24"/>
              </w:rPr>
              <w:t>E.平茬方式：带状平茬。双行一带的，平茬两行带保留2行带；4行一带的，平茬4行带保留4行。没有规则株行距的灌木林地采取带状平茬，在灌木林小班内平茬带和保留带交叉排列方式，平茬带宽度10～20米，保留带宽度10～20米。</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10）工艺流程</w:t>
            </w:r>
          </w:p>
          <w:p>
            <w:pPr>
              <w:pStyle w:val="null5"/>
              <w:ind w:firstLine="480"/>
              <w:jc w:val="both"/>
            </w:pPr>
            <w:r>
              <w:rPr>
                <w:rFonts w:ascii="仿宋_GB2312" w:hAnsi="仿宋_GB2312" w:cs="仿宋_GB2312" w:eastAsia="仿宋_GB2312"/>
                <w:sz w:val="24"/>
              </w:rPr>
              <w:t>标号</w:t>
            </w:r>
            <w:r>
              <w:rPr>
                <w:rFonts w:ascii="仿宋_GB2312" w:hAnsi="仿宋_GB2312" w:cs="仿宋_GB2312" w:eastAsia="仿宋_GB2312"/>
                <w:sz w:val="24"/>
              </w:rPr>
              <w:t>→平茬→场地清理。</w:t>
            </w:r>
          </w:p>
          <w:p>
            <w:pPr>
              <w:pStyle w:val="null5"/>
              <w:ind w:firstLine="480"/>
              <w:jc w:val="both"/>
            </w:pPr>
            <w:r>
              <w:rPr>
                <w:rFonts w:ascii="仿宋_GB2312" w:hAnsi="仿宋_GB2312" w:cs="仿宋_GB2312" w:eastAsia="仿宋_GB2312"/>
                <w:sz w:val="24"/>
              </w:rPr>
              <w:t>A.标号</w:t>
            </w:r>
          </w:p>
          <w:p>
            <w:pPr>
              <w:pStyle w:val="null5"/>
              <w:ind w:firstLine="480"/>
              <w:jc w:val="both"/>
            </w:pPr>
            <w:r>
              <w:rPr>
                <w:rFonts w:ascii="仿宋_GB2312" w:hAnsi="仿宋_GB2312" w:cs="仿宋_GB2312" w:eastAsia="仿宋_GB2312"/>
                <w:sz w:val="24"/>
              </w:rPr>
              <w:t>作业前，作业人员在技术人员的指导下，沿等高线按设计的作业带宽度，用</w:t>
            </w:r>
            <w:r>
              <w:rPr>
                <w:rFonts w:ascii="仿宋_GB2312" w:hAnsi="仿宋_GB2312" w:cs="仿宋_GB2312" w:eastAsia="仿宋_GB2312"/>
                <w:sz w:val="24"/>
              </w:rPr>
              <w:t>白油漆</w:t>
            </w:r>
            <w:r>
              <w:rPr>
                <w:rFonts w:ascii="仿宋_GB2312" w:hAnsi="仿宋_GB2312" w:cs="仿宋_GB2312" w:eastAsia="仿宋_GB2312"/>
                <w:sz w:val="24"/>
              </w:rPr>
              <w:t>标记出作业带边缘。对作业带内稀濒危植物、重点保护野生植物、经济价值较高的植物也用</w:t>
            </w:r>
            <w:r>
              <w:rPr>
                <w:rFonts w:ascii="仿宋_GB2312" w:hAnsi="仿宋_GB2312" w:cs="仿宋_GB2312" w:eastAsia="仿宋_GB2312"/>
                <w:sz w:val="24"/>
              </w:rPr>
              <w:t>白</w:t>
            </w:r>
            <w:r>
              <w:rPr>
                <w:rFonts w:ascii="仿宋_GB2312" w:hAnsi="仿宋_GB2312" w:cs="仿宋_GB2312" w:eastAsia="仿宋_GB2312"/>
                <w:sz w:val="24"/>
              </w:rPr>
              <w:t>油漆标号。</w:t>
            </w:r>
          </w:p>
          <w:p>
            <w:pPr>
              <w:pStyle w:val="null5"/>
              <w:ind w:firstLine="480"/>
              <w:jc w:val="both"/>
            </w:pPr>
            <w:r>
              <w:rPr>
                <w:rFonts w:ascii="仿宋_GB2312" w:hAnsi="仿宋_GB2312" w:cs="仿宋_GB2312" w:eastAsia="仿宋_GB2312"/>
                <w:sz w:val="24"/>
              </w:rPr>
              <w:t>B.平茬</w:t>
            </w:r>
          </w:p>
          <w:p>
            <w:pPr>
              <w:pStyle w:val="null5"/>
              <w:ind w:firstLine="480"/>
              <w:jc w:val="both"/>
            </w:pPr>
            <w:r>
              <w:rPr>
                <w:rFonts w:ascii="仿宋_GB2312" w:hAnsi="仿宋_GB2312" w:cs="仿宋_GB2312" w:eastAsia="仿宋_GB2312"/>
                <w:sz w:val="24"/>
              </w:rPr>
              <w:t>用平茬机、油锯、大力剪、修枝锯或弯刀等工具，平贴地面锯下或砍下平茬的柠条枝条。</w:t>
            </w:r>
          </w:p>
          <w:p>
            <w:pPr>
              <w:pStyle w:val="null5"/>
              <w:ind w:firstLine="480"/>
              <w:jc w:val="both"/>
            </w:pPr>
            <w:r>
              <w:rPr>
                <w:rFonts w:ascii="仿宋_GB2312" w:hAnsi="仿宋_GB2312" w:cs="仿宋_GB2312" w:eastAsia="仿宋_GB2312"/>
                <w:sz w:val="24"/>
              </w:rPr>
              <w:t>C.场地清理</w:t>
            </w:r>
          </w:p>
          <w:p>
            <w:pPr>
              <w:pStyle w:val="null5"/>
              <w:ind w:firstLine="480"/>
              <w:jc w:val="both"/>
            </w:pPr>
            <w:r>
              <w:rPr>
                <w:rFonts w:ascii="仿宋_GB2312" w:hAnsi="仿宋_GB2312" w:cs="仿宋_GB2312" w:eastAsia="仿宋_GB2312"/>
                <w:sz w:val="24"/>
              </w:rPr>
              <w:t>工作结束后，将平茬下的枝条平行于等高线放置归堆放置，保持林地卫生。归集高度不宜超过</w:t>
            </w:r>
            <w:r>
              <w:rPr>
                <w:rFonts w:ascii="仿宋_GB2312" w:hAnsi="仿宋_GB2312" w:cs="仿宋_GB2312" w:eastAsia="仿宋_GB2312"/>
                <w:sz w:val="24"/>
              </w:rPr>
              <w:t>1.5m。然后将其运出作业小班回收利用，达到节约资源和能源的</w:t>
            </w:r>
            <w:r>
              <w:rPr>
                <w:rFonts w:ascii="仿宋_GB2312" w:hAnsi="仿宋_GB2312" w:cs="仿宋_GB2312" w:eastAsia="仿宋_GB2312"/>
                <w:sz w:val="24"/>
              </w:rPr>
              <w:t>目的</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）技术要求</w:t>
            </w:r>
          </w:p>
          <w:p>
            <w:pPr>
              <w:pStyle w:val="null5"/>
              <w:ind w:firstLine="480"/>
              <w:jc w:val="both"/>
            </w:pPr>
            <w:r>
              <w:rPr>
                <w:rFonts w:ascii="仿宋_GB2312" w:hAnsi="仿宋_GB2312" w:cs="仿宋_GB2312" w:eastAsia="仿宋_GB2312"/>
                <w:sz w:val="24"/>
              </w:rPr>
              <w:t>A.平茬时，一般紧贴地面5-10厘米，留茬过高易受风沙吹蚀，不利于来年萌蘖抽条；</w:t>
            </w:r>
          </w:p>
          <w:p>
            <w:pPr>
              <w:pStyle w:val="null5"/>
              <w:ind w:firstLine="480"/>
              <w:jc w:val="both"/>
            </w:pPr>
            <w:r>
              <w:rPr>
                <w:rFonts w:ascii="仿宋_GB2312" w:hAnsi="仿宋_GB2312" w:cs="仿宋_GB2312" w:eastAsia="仿宋_GB2312"/>
                <w:sz w:val="24"/>
              </w:rPr>
              <w:t>B.保护珍稀濒危植物、重点保护野生植物、经济价值较高的植物；</w:t>
            </w:r>
          </w:p>
          <w:p>
            <w:pPr>
              <w:pStyle w:val="null5"/>
              <w:ind w:firstLine="480"/>
              <w:jc w:val="both"/>
            </w:pPr>
            <w:r>
              <w:rPr>
                <w:rFonts w:ascii="仿宋_GB2312" w:hAnsi="仿宋_GB2312" w:cs="仿宋_GB2312" w:eastAsia="仿宋_GB2312"/>
                <w:sz w:val="24"/>
              </w:rPr>
              <w:t>C.保护濒危珍稀、重点保护野生动物栖息环境，周围30m范围内不允许作业。</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）平茬后管护</w:t>
            </w:r>
          </w:p>
          <w:p>
            <w:pPr>
              <w:pStyle w:val="null5"/>
              <w:ind w:firstLine="480"/>
              <w:jc w:val="both"/>
            </w:pPr>
            <w:r>
              <w:rPr>
                <w:rFonts w:ascii="仿宋_GB2312" w:hAnsi="仿宋_GB2312" w:cs="仿宋_GB2312" w:eastAsia="仿宋_GB2312"/>
                <w:sz w:val="24"/>
              </w:rPr>
              <w:t>开展病虫害和林火监测，加强管护。严禁人为毁林，防止牲畜啃食、践踏破坏。</w:t>
            </w:r>
          </w:p>
          <w:p>
            <w:pPr>
              <w:pStyle w:val="null5"/>
              <w:ind w:firstLine="482"/>
              <w:jc w:val="both"/>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乙方</w:t>
            </w:r>
            <w:r>
              <w:rPr>
                <w:rFonts w:ascii="仿宋_GB2312" w:hAnsi="仿宋_GB2312" w:cs="仿宋_GB2312" w:eastAsia="仿宋_GB2312"/>
                <w:sz w:val="24"/>
                <w:b/>
              </w:rPr>
              <w:t>完全</w:t>
            </w:r>
            <w:r>
              <w:rPr>
                <w:rFonts w:ascii="仿宋_GB2312" w:hAnsi="仿宋_GB2312" w:cs="仿宋_GB2312" w:eastAsia="仿宋_GB2312"/>
                <w:sz w:val="24"/>
                <w:b/>
              </w:rPr>
              <w:t>负责施工过程中的人身安全、</w:t>
            </w:r>
            <w:r>
              <w:rPr>
                <w:rFonts w:ascii="仿宋_GB2312" w:hAnsi="仿宋_GB2312" w:cs="仿宋_GB2312" w:eastAsia="仿宋_GB2312"/>
                <w:sz w:val="24"/>
                <w:b/>
              </w:rPr>
              <w:t>施工安全、</w:t>
            </w:r>
            <w:r>
              <w:rPr>
                <w:rFonts w:ascii="仿宋_GB2312" w:hAnsi="仿宋_GB2312" w:cs="仿宋_GB2312" w:eastAsia="仿宋_GB2312"/>
                <w:sz w:val="24"/>
                <w:b/>
              </w:rPr>
              <w:t>防火</w:t>
            </w:r>
            <w:r>
              <w:rPr>
                <w:rFonts w:ascii="仿宋_GB2312" w:hAnsi="仿宋_GB2312" w:cs="仿宋_GB2312" w:eastAsia="仿宋_GB2312"/>
                <w:sz w:val="24"/>
                <w:b/>
              </w:rPr>
              <w:t>安全等</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如出现安全事故由乙方全数负责。</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提供以下任意一种均可：（1）投标人2023年度经会计师事务所出具的财务审计报告；（2）投标人基本开户银行近一年内出具的银行资信证明。（3）提供“具有良好的商业信誉和健全的财务会计制度”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投标人提供以下任意一种均可：（1）须同时提供递交投标文件截止之日前一年内至少一个月的：①缴纳税收的相关凭据（税务机关提供的纳税凭据或银行入账单）； ②缴纳社会保险的凭证（专用收据或社会保险缴纳清单或其它缴纳凭证）；（2）提供“具有依法缴纳税收和社会保障资金的良好记录”承诺函（格式自拟）注：a、其他组织和自然人也需要提供上述证明材料。 b、依法免税或不需要缴纳社会保障资金的投标人，提供相应证明材料或说明材料，无须提供上述证明材料。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w:t>
            </w:r>
          </w:p>
        </w:tc>
        <w:tc>
          <w:tcPr>
            <w:tcW w:type="dxa" w:w="3115"/>
          </w:tcPr>
          <w:p>
            <w:pPr>
              <w:pStyle w:val="null5"/>
              <w:jc w:val="left"/>
            </w:pPr>
            <w:r>
              <w:rPr>
                <w:rFonts w:ascii="仿宋_GB2312" w:hAnsi="仿宋_GB2312" w:cs="仿宋_GB2312" w:eastAsia="仿宋_GB2312"/>
              </w:rPr>
              <w:t>根据供应商提供的针对本项目制定的施工组 织设计进行评审，包括施工准 备、分部分项 工程施工方案、施工工艺及方法、档案资料 管理。①内容非常全面、方案科学、有针对 性，合理可行，措施得当得10分； ②内容较 为全面、方案较为科学、针对性较强，措施 较为得当得7分； ③对于项目情况基本了解 ，并有基本认识，基本合理可行，措施基本 可行得5分； ④对于项目情况一般了解，并 有一般认识，措施一般得3分； ⑤对于本项 目情况了解模糊，制定相应技术措施，措施 较差得1分； ⑥不符合磋商文件需求或未提 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视供应商提供的质量管理体系与措施进行评 价，内容包含质量目标满足竞 争性磋商文件 要求，具有质量控制计划、岗位责任、材料 采购、过程控制 及检验、分项措施。 ①内容 非常全面、方案科学、有针对性，合理可行 ，措施得当得10分； ②内容较为全面、方案 较为科学、针对性较强，措施较为得当得7 分； ③对于项目情况基本了解，并有基本认 识，基本合理可行，措施基本可行得5分； ④对于项目情况一般了解，并有一般认识， 措施一般得3分； ⑤对于本项目情况了解模 糊，制定相应技术措施，措施较差得1分； ⑥不符合磋商文件需求或未提供不得分。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视供应商提供的安全管理体系与措施进行评 价，内容包含安全文明施工目 标满足竞争性 磋商文件要求，具有安全管理体系、防护措 施，单位工程安 全防护方案符合国家及地方 管理规定。①内容非常全面、方案科学、有 针对性，合理可行，措施得当得10分； ②内 容较为全面、方案较为科学、针对性较强， 措施较为得当得7分； ③对于项目情况基本 了解，并有基本认识，基本合理可行，措施 基本可行得5分； ④对于项目情况一般了解 ，并有一般认识，措施一般得3分； ⑤对于 本项目情况了解模糊，制定相应技术措施， 措施较差得1分； ⑥不符合磋商文件需求或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视供应商提供的工程进度计划与措施进行评 价，内容包含施工工期满足竞 争性磋商文件 要求，施工进度计划，措施及网络图设置。 ①进度控制措施内容非常完善、合理，完全 满足本项目需求得10分； ②进度控制措施内 容比较完善、合理，能够满足本项目需求得 7分； ③进度控制措施内容基本完善、基本 合理，基本满足本项目需求得5分； ④进度 控制措施内容一般、满足本项目部分需求得 3分； ⑤进度控制措施内容粗略，可行性差 得1分； ⑥不符合磋商文件需求或未提供不 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视供应商提供的环保管理体系与措施进行评 价，内容包含环境保护管理体 系、污染物处 理及排放符合国家及地方环境保护标准、技 术及管理措施。 ①环境保护管理体系计划与 措施内容非常完善、合理，完全满足本项目 需求得10分； ②环境保护管理体系计划与措 施内容比较完善、合理，能够满足本项目需 求得7分； ③环境保护管理体系计划与措施 内容基本完善、基本合理，基本满足本项目 需求得5分； ④环境保护管理体系计划与措 施内容一般、满足本项目部分需求得3分； ⑤环境保护管理体系计划与措施内容粗略， 可行性差得1分； ⑥不符合磋商文件需求或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视供应商提供的资源配备计划进行评价，内 容包含机械设备、劳动力、施 工机具、架料 、模板及安全防护用品满足工程进度及施工 管理。 ①根据资源配备计划内容非常完整明 确，完全满足本项目需求及进度得10分； ② 资源配备计划内容比较完善合理，能够满足 本项目需求及进度得7分； ③资源配备计划 内容基本完善合理，基本满足本项目需求得 5分； ④资源配备计划内容一般，满足本项 目部分需求得3分； ⑤资源配备计划内容粗 略，计划措施不完善得1分； ⑥不符合磋商 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根据应急方案进行评定，内容需包含但不限 于突发事件（如大风、暴雨、火灾）应对措 施、安全事故应急措施。 ①应急方案内容非 常全面、应急处理措施非常得当得10分； ② 应急方案内容较为全面、应急处理措施较为 得当得7分； ③应急方案内容基本全面、应 急处理措施基本得当得5分； ④应急方案内 容不够详尽完整、操作性不强得3分； ⑤应 急方案内容表述较差、可操作性差得1分 ⑥ 不符合磋商文件需求或未提供不得分。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投标人2021年1月1日至开标日施工过的同类工程每有一项得5分，本项最高得10分。同类工程的界定： (1)同类工程指嫁接类、园林绿化类、退化林修复（改造）类、封育补植类工程； (2)同类工程起算日期以合同签订日期为准； (3)投标文件须附包含施工的同类工程施工合同复印件或扫描件。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1、投标人拟派的项目负责人需具有园林或林业相关高级职称（含副高）得5分，具有园林或林业相关中级职称得3分，具有园林或林业相关初级职称得1分； 2、投标人拟派的项目技术负责人具有园林或林业相关高级职称（含副高）得5分；具有园林或林业相关中级职称得2分；具有园林或林业相关初级职称得1分。 注1：需附项目负责人及技术负责人身份证、职称证书复印件或扫描件及本投标人缴纳的2024年1月至今至少连续3个月的养老保险缴纳信息； 养老保险缴纳信息按以下任意一种方式提交均可： ①如投标人所在地区已实行社保信息网上查询，提供可在人社部门网站上查询的养老保险缴纳信息，并同时提供现场管理人员养老保险缴纳查询信息的用户名及密码或验证码或二维码； ②如投标人所在地区未实行养老保险缴纳信息网上查询，可提供加盖社保机构公章的养老保险缴纳个人明细或对账单。 注2：项目负责人及技术负责人如果为退休人员可附聘用合同、身份证及职称证书复印件或扫描件。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