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2025年度咨询服务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克什克腾旗发展和改革委员会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赤峰永利工程项目管理有限公司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CFZCKTS-C-F-250011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赤峰永利工程项目管理有限公司</w:t>
      </w:r>
      <w:r>
        <w:rPr>
          <w:rFonts w:ascii="仿宋_GB2312" w:hAnsi="仿宋_GB2312" w:cs="仿宋_GB2312" w:eastAsia="仿宋_GB2312"/>
        </w:rPr>
        <w:t xml:space="preserve"> 受 </w:t>
      </w:r>
      <w:r>
        <w:rPr>
          <w:rFonts w:ascii="仿宋_GB2312" w:hAnsi="仿宋_GB2312" w:cs="仿宋_GB2312" w:eastAsia="仿宋_GB2312"/>
        </w:rPr>
        <w:t>克什克腾旗发展和改革委员会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2025年度咨询服务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2025年度咨询服务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CFZCKTS-C-F-250011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赤政采计划[2025]克旗00061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2025年度咨询服务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赤峰永利工程项目管理有限公司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内蒙古自治区赤峰市克什克腾旗经棚镇解放路东苑商住楼2层3号、22号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辛玲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15049925112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克什克腾旗发展和改革委员会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党政综合楼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关永明</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13614761066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代理服务费收费标准：参考内工建协（2022）34号文件，实行市场调节价。</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克什克腾旗发展和改革委员会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赤峰永利工程项目管理有限公司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聚焦克什克腾旗产业（即工业、农牧业、食品加工业、旅游业等产业），围绕城乡融合发展、特色小镇、乡村振兴、生态文明与资源环境、重大基础设施、产业转型升级、公共服务等领域，重点突出重大基础设施、交通能源等，根据历年来国家发改委、工信部等相关部委组织实施的专项，供应商在采购方提供的项目清单及项目资料的基础上，筛选出有条件、有优势、适合申报中央预算内资金专项支持的项目（事项）和国家级各类政策平台（试点）清单。供应商对清单内每个项目分析 PPP 模式和地方政府专项债券的可行性，并提出实施路径；对项目清单外但符合国家政策的项目，积极策划，“无中生有”，超前谋划事关长远发展的重大项目。在采购方提供项目清单及项目资料后一个月内，完成可申报中央预算内资金专项的项目（事项）清单和国家级各类政策平台（试点）清单，提出实施路径建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克什克腾旗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1、双方签订合同生效后，达到付款条件起7日，支付合同总金额的40.00%</w:t>
            </w:r>
          </w:p>
          <w:p>
            <w:pPr>
              <w:pStyle w:val="null5"/>
              <w:jc w:val="left"/>
            </w:pPr>
            <w:r>
              <w:rPr>
                <w:rFonts w:ascii="仿宋_GB2312" w:hAnsi="仿宋_GB2312" w:cs="仿宋_GB2312" w:eastAsia="仿宋_GB2312"/>
              </w:rPr>
              <w:t>2、提供可申报中央预算内资金专项支持、国家级各类政策平台(试点)的项目清单和实施路径建议，并经甲方确认后，达到付款条件起7日，支付合同总金额的30.00%</w:t>
            </w:r>
          </w:p>
          <w:p>
            <w:pPr>
              <w:pStyle w:val="null5"/>
              <w:jc w:val="left"/>
            </w:pPr>
            <w:r>
              <w:rPr>
                <w:rFonts w:ascii="仿宋_GB2312" w:hAnsi="仿宋_GB2312" w:cs="仿宋_GB2312" w:eastAsia="仿宋_GB2312"/>
              </w:rPr>
              <w:t>3、完成全年宏观经济分析专刊，免费咨询2个项目资金到位后支付，达到付款条件起7日，支付合同总金额的30.00%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一）政策咨询服务</w:t>
            </w:r>
            <w:r>
              <w:br/>
            </w:r>
            <w:r>
              <w:rPr>
                <w:rFonts w:ascii="仿宋_GB2312" w:hAnsi="仿宋_GB2312" w:cs="仿宋_GB2312" w:eastAsia="仿宋_GB2312"/>
              </w:rPr>
              <w:t xml:space="preserve"> 1.提供政策参考。在研究透“克旗是什么、缺什么、要什么”的基础上，及时将国家层面各类产业政策、投资政策以及其他方面的政策信息，与克旗实时分享。每个季度乙方为甲方至少编发一期宏观经济分析专刊，同时，根据国家政策调整以及甲方需求，不定期增发宏观经济分析专刊。专刊内容主要包括，对国家政策、发展战略和市委市政府关注的问题等进行深入研究分析，重点关注国家前瞻性政策、预判性调整，结合克旗实际提出经济发展和“三争”工作建议。</w:t>
            </w:r>
            <w:r>
              <w:br/>
            </w:r>
            <w:r>
              <w:rPr>
                <w:rFonts w:ascii="仿宋_GB2312" w:hAnsi="仿宋_GB2312" w:cs="仿宋_GB2312" w:eastAsia="仿宋_GB2312"/>
              </w:rPr>
              <w:t xml:space="preserve"> 2.加强规划指导。结合当前国家层面的重大规划、重大政策、重大战略对我旗“十五五”期间发展思路、发展路径提出建议，并谋划一批重大项目、重大政策、重大平台，力争5个以上重大项目纳入国家“十五五”规划。</w:t>
            </w:r>
            <w:r>
              <w:br/>
            </w:r>
            <w:r>
              <w:rPr>
                <w:rFonts w:ascii="仿宋_GB2312" w:hAnsi="仿宋_GB2312" w:cs="仿宋_GB2312" w:eastAsia="仿宋_GB2312"/>
              </w:rPr>
              <w:t xml:space="preserve"> 3.支持城乡融合发展。帮助克旗对接国家部委关于城乡融合发展试验区建设的各类政策，指导克旗有针对性地梳理包装一批克旗城乡融合发展典型项目，争取中央预算内、基金、专项债券、国家试点支持。</w:t>
            </w:r>
            <w:r>
              <w:br/>
            </w:r>
            <w:r>
              <w:rPr>
                <w:rFonts w:ascii="仿宋_GB2312" w:hAnsi="仿宋_GB2312" w:cs="仿宋_GB2312" w:eastAsia="仿宋_GB2312"/>
              </w:rPr>
              <w:t xml:space="preserve"> （二）项目咨询服务</w:t>
            </w:r>
            <w:r>
              <w:br/>
            </w:r>
            <w:r>
              <w:rPr>
                <w:rFonts w:ascii="仿宋_GB2312" w:hAnsi="仿宋_GB2312" w:cs="仿宋_GB2312" w:eastAsia="仿宋_GB2312"/>
              </w:rPr>
              <w:t xml:space="preserve"> 1.项目策划。聚焦克旗产业（即农牧业、工业、服务业三大特色产业），围绕城乡融合发展、特色小镇、乡村振兴、生态文明与资源环境、重大基础设施、产业转型升级、公共服务等领域，重点突出重大基础设施、交通能源等，根据历年来国家发改委、工信部等相关部委组织实施的专项，乙方在甲方提供的项目清单及项目资料的基础上，筛选出有条件、有优势、适合申报中央预算内资金专项支持的项目（事项）和国家级各类政策平台（试点）清单。乙方对清单内每个项目分析 PPP 模式和地方政府专项债券的可行性，并提出实施路径；对项目清单外但符合国家政策的项目，积极策划，“无中生有”，超前谋划事关长远发展的重大项目。在甲方提供项目清单及项目资料后一个月内，完成可申报中央预算内资金专项的项目（事项）清单和国家级各类政策平台（试点）清单，提出实施路径建议。</w:t>
            </w:r>
            <w:r>
              <w:br/>
            </w:r>
            <w:r>
              <w:rPr>
                <w:rFonts w:ascii="仿宋_GB2312" w:hAnsi="仿宋_GB2312" w:cs="仿宋_GB2312" w:eastAsia="仿宋_GB2312"/>
              </w:rPr>
              <w:t xml:space="preserve"> 2.项目咨询。乙方在甲方提供的项目申报文本的基础上，免费提供2个项目咨询服务，力争2个项目进入国家盘子，获得资金或政策支持。国家有关部委已有分配方案的“切块资金”项目不计入此项统计范围。</w:t>
            </w:r>
            <w:r>
              <w:br/>
            </w:r>
            <w:r>
              <w:rPr>
                <w:rFonts w:ascii="仿宋_GB2312" w:hAnsi="仿宋_GB2312" w:cs="仿宋_GB2312" w:eastAsia="仿宋_GB2312"/>
              </w:rPr>
              <w:t xml:space="preserve"> 除此以外的申报项目（事项），采取“一事一议”的方式，甲方以委托合同的方式和乙方开展项目咨询合作。采取以下两种方式合作：一是主导编制。由乙方起草申报文本，并按照国家、省有关部门要求修改完善后符合申报要求，由甲方正式提交，进行申报。二是协助修改。甲方自行组织力量起草相申报文本，及时提交乙方，乙方按照负责、高效、精准的原则，牵头修改完善直至达到申报要求。</w:t>
            </w:r>
            <w:r>
              <w:br/>
            </w:r>
            <w:r>
              <w:rPr>
                <w:rFonts w:ascii="仿宋_GB2312" w:hAnsi="仿宋_GB2312" w:cs="仿宋_GB2312" w:eastAsia="仿宋_GB2312"/>
              </w:rPr>
              <w:t xml:space="preserve"> 3.项目申报。乙方对克旗申报国家部委的项目（事项）实行全过程指导。对国家部委可能委托乙方开展评审评估的项目（事项），事前提供专题辅导；甲方积极配合，并与国家有关部委主动对接，积极汇报，尽最大努力争取。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审查供应商出具的“具有良好的商业信誉和健全的财务会计制度”承诺书。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 2.提供递交响应文件截止之日前一年内（至少一 个月）缴纳社会保险的凭证。（以专用收据或社会保险缴纳清单为准）注：其他组织和自然 人也需要提供缴纳税收的凭据和缴纳社保的凭证。依法免税或不需要缴纳社会保障资金的供 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商务部分50.00分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根据供应商对本项目的实施背景、工作目标及内容进行评审： 1.理解深刻,把握到位,需求分析明确具体的,得10 分； 2.理解较为准确,把握较为到位,需求分 析较为明确具体的,得7分； 3.理解不够深 刻,把握不够到位,需求分析一般的,得4分。 4 .理解较差,把握不够到位,需求分析较差的,得 1分。 5.未提供的，得0分。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根据供应商提供的方案总体思路清晰，功能布局合理，形态设计适合项目需求进行评审： 1.理 解深刻,把握到位,需求分析明确具体的,得10 分； 2.理解较为准确,把握较为到位,需求分析较为明确具体的,得7分； 3.理解不够深 刻,把握不够到位,需求分析一般的,得4分。 4 .理解较差,把握不够到位,需求分析较差的,得 1分。 5.未提供的，得0分。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工作进度安排</w:t>
            </w:r>
          </w:p>
        </w:tc>
        <w:tc>
          <w:tcPr>
            <w:tcW w:type="dxa" w:w="3115"/>
          </w:tcPr>
          <w:p>
            <w:pPr>
              <w:pStyle w:val="null5"/>
              <w:jc w:val="left"/>
            </w:pPr>
            <w:r>
              <w:rPr>
                <w:rFonts w:ascii="仿宋_GB2312" w:hAnsi="仿宋_GB2312" w:cs="仿宋_GB2312" w:eastAsia="仿宋_GB2312"/>
              </w:rPr>
              <w:t>根据供应商的整体进度安排及阶段安排内容 进行评审： 1.编制进度具有明确的阶段性安 排，计划连贯有序、节奏可控、满足上下贯 通的体系要求、保障体系机制完备，满足项 目要求，得10分； 2.编制进度计划基本完整 、阶段性安排合理可行，可以确保规划之间 的连续性和一致性要求，得7分； 3.编制进 度计划简要可行，基本符合本项目实施要求 ，得4分； 4.编制进度计划内容叙述不清， 不具有连贯性和可行性，得1分； 5.未提供 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质量控制及保障措施</w:t>
            </w:r>
          </w:p>
        </w:tc>
        <w:tc>
          <w:tcPr>
            <w:tcW w:type="dxa" w:w="3115"/>
          </w:tcPr>
          <w:p>
            <w:pPr>
              <w:pStyle w:val="null5"/>
              <w:jc w:val="left"/>
            </w:pPr>
            <w:r>
              <w:rPr>
                <w:rFonts w:ascii="仿宋_GB2312" w:hAnsi="仿宋_GB2312" w:cs="仿宋_GB2312" w:eastAsia="仿宋_GB2312"/>
              </w:rPr>
              <w:t>根据供应商为完成本项目提供的保障措施（ 包括但不限于质量保障措施、应急保障措施 等）进行评审： 1.保障措施全面详细，合理 可行，针对性强的，得5分； 2.保障措施完 整合理，可实施，有针对性的，得3分； 3. 质量保障措施简单笼统，针对性一般的，得 2分； 4.质量保障措施较差，不能保证项目 实施的，得1分； 5.未提供的，得0分。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安全保密措施</w:t>
            </w:r>
          </w:p>
        </w:tc>
        <w:tc>
          <w:tcPr>
            <w:tcW w:type="dxa" w:w="3115"/>
          </w:tcPr>
          <w:p>
            <w:pPr>
              <w:pStyle w:val="null5"/>
              <w:jc w:val="left"/>
            </w:pPr>
            <w:r>
              <w:rPr>
                <w:rFonts w:ascii="仿宋_GB2312" w:hAnsi="仿宋_GB2312" w:cs="仿宋_GB2312" w:eastAsia="仿宋_GB2312"/>
              </w:rPr>
              <w:t>根据供应商提供的成果及资料的安全保密措施进行评审：1.安全保密措施全面、严格、有 效，得5分；2.成果及资料的安全保密措施较全面，比较严格、得3分； 3.成果及资料的安全保密措施一般，效果一般，得2分； 4.成果及资料的安全保密措施较差，不严格得1分；5.未提供或措施不可行，得0分；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投标人自2019年1月至本项目开标之日承接过相关业绩（包括正在开展的项目）得4分，满分20分。（提供合同或协议书复印件并加盖公章，未提供不得分）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体系认证证书</w:t>
            </w:r>
          </w:p>
        </w:tc>
        <w:tc>
          <w:tcPr>
            <w:tcW w:type="dxa" w:w="3115"/>
          </w:tcPr>
          <w:p>
            <w:pPr>
              <w:pStyle w:val="null5"/>
              <w:jc w:val="left"/>
            </w:pPr>
            <w:r>
              <w:rPr>
                <w:rFonts w:ascii="仿宋_GB2312" w:hAnsi="仿宋_GB2312" w:cs="仿宋_GB2312" w:eastAsia="仿宋_GB2312"/>
              </w:rPr>
              <w:t>通过质量管理体系、职业健康安全管理体系、环境管理体系认证，每拥有一个认证证书得 1 分，最高得 3 分。（提供认证证书扫描件并加盖公章。）</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1、项目负责人：拟投入本项目的项目负责人具有注册咨询工程师（投资）证书得4分；具有相关专业高级职称得2分；具有相关专业中级职称得1分；具有相关专业初级职称得0.5分； 2、其他成员： ①拟投入本项目服务团队的其他成员具有注册咨询工程师（投资）证书，每提供1人得1分，满分10分。 ②拟投入本项目服务团队的其他成员具有高级职称，每提供1人得1分；具有中级职称，每提供1人得0.3分，满分8分。 注：提供相关证书及近半年内任意一个月投标人为其缴纳的社保证明材料复印件并加盖公章，未提供或少提供不得分。同一人员不重复计分，以得分高的计取。</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企业实力</w:t>
            </w:r>
          </w:p>
        </w:tc>
        <w:tc>
          <w:tcPr>
            <w:tcW w:type="dxa" w:w="3115"/>
          </w:tcPr>
          <w:p>
            <w:pPr>
              <w:pStyle w:val="null5"/>
              <w:jc w:val="left"/>
            </w:pPr>
            <w:r>
              <w:rPr>
                <w:rFonts w:ascii="仿宋_GB2312" w:hAnsi="仿宋_GB2312" w:cs="仿宋_GB2312" w:eastAsia="仿宋_GB2312"/>
              </w:rPr>
              <w:t>供应商具有有效的工程咨询甲级综合资信，得 3 分；取得工程咨询乙级资信，得 1 分；（响应文件中提供证书扫描件或复印件并加盖公章）</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