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克什克腾旗2024-2025年地膜科学使用回收试点项目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克什克腾旗农牧局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大成工程咨询有限公司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CFZCKTS-G-H-250015</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大成工程咨询有限公司</w:t>
      </w:r>
      <w:r>
        <w:rPr>
          <w:rFonts w:ascii="仿宋_GB2312" w:hAnsi="仿宋_GB2312" w:cs="仿宋_GB2312" w:eastAsia="仿宋_GB2312"/>
        </w:rPr>
        <w:t xml:space="preserve"> 受 </w:t>
      </w:r>
      <w:r>
        <w:rPr>
          <w:rFonts w:ascii="仿宋_GB2312" w:hAnsi="仿宋_GB2312" w:cs="仿宋_GB2312" w:eastAsia="仿宋_GB2312"/>
        </w:rPr>
        <w:t>克什克腾旗农牧局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克什克腾旗2024-2025年地膜科学使用回收试点项目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克什克腾旗2024-2025年地膜科学使用回收试点项目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CFZCKTS-G-H-250015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赤政采计划[2025]克旗00155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1,948,000.00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克什克腾旗2024-2025年地膜科学使用回收试点项目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1,948,000.00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大成工程咨询有限公司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赤峰市松山区宝通大厦2002室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王延新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0476-8387756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克什克腾旗农牧局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克旗经棚镇解放路</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025350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张洪伟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15849601832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克什克腾旗农牧局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大成工程咨询有限公司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提供以下任意一种均可：（1）供应商2022或2023年度经会计师事务所出具的财务审计报告；（2）供应商基本开户银行近一年内出具的银行资信证明；（3）供应商出具的“具有良好的商业信誉和健全的财务会计制度”声明函。（格式自拟并加盖供应商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提供以下任意一种均可：（1）须同时提供递交投标文件截止之日前一年内至少一个月的：①缴纳税收的相关凭据（税务机关提供的纳税凭据或银行入账单）；②缴纳社会保险的凭证（专用收据或社会保险缴纳清单或其它缴纳凭证）；（2）供应商出具的“具有依法缴纳税收和社会保障资金的良好记录”声明函。（格式自拟并加盖供应商公章）注：a、其他组织和自然人也需要提供上述（1）或（2）的证明材料。b、依法免税或不需要缴纳社会保障资金的供应商，提供相应证明材料或说明材料，无须提供上述（1）和（2）的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审查投标人“具有履行合同所必须的设备和专业技术能力”的书面声明。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贯彻落实党中央、国务院关于下大力气治理“白色污染”要求，加大《内蒙古自治区农用薄膜污染防治条例》（以下简称《条例》）和《赤峰市加强地膜污染防治十条措施》（以下简称《措施》）的贯彻执行力度，以切实提高农膜回收率、提升全旗废旧农膜回收处理水平为目标，坚持政策引导与法规约束并举，科学使用与回收处理并重，试验示范与推广应用并进，再利用与无害化处理并行，立足我旗覆膜面积大、膜茬分离难的客观实际，统筹实施地膜科学使用回收项目，构建废旧地膜污染治理长效机制，促进农牧业绿色高质量发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克什克腾旗经棚镇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1、支付比例100%，供货结束后根据财政实际能力支付，达到付款条件起7日，支付合同总金额的100.00%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缴纳比例：3</w:t>
            </w:r>
          </w:p>
          <w:p>
            <w:pPr>
              <w:pStyle w:val="null5"/>
              <w:jc w:val="left"/>
            </w:pPr>
            <w:r>
              <w:rPr>
                <w:rFonts w:ascii="仿宋_GB2312" w:hAnsi="仿宋_GB2312" w:cs="仿宋_GB2312" w:eastAsia="仿宋_GB2312"/>
              </w:rPr>
              <w:t>缴纳说明：（1）以转账、电汇或网上银行方式递交：在签订合同前由中标单位的基本账户一次性汇入招标人账户，详细汇款账户签订合同前另行给定。（2）以银行、保险公司或担保公司出具保函方式递交：须出具无条件的、不可撤销的、见索即付的保函。出具保函的银行级别为地市级及以上国家政策性银行或商业银行。（3）履约担保汇款账户：签订合同前另行给定（4）中标供应商提供期限：合同签订前（5）履约保证金的退还：中标供应商于本项目验收合格后10日内办理退还手续。</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标的名称：克什克腾旗2024-2025年地膜科学使用回收试点项目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一、加厚高强度地膜数量：186.7吨</w:t>
            </w:r>
          </w:p>
          <w:p>
            <w:pPr>
              <w:pStyle w:val="null5"/>
              <w:jc w:val="left"/>
            </w:pPr>
            <w:r>
              <w:rPr>
                <w:rFonts w:ascii="仿宋_GB2312" w:hAnsi="仿宋_GB2312" w:cs="仿宋_GB2312" w:eastAsia="仿宋_GB2312"/>
              </w:rPr>
              <w:t>二、质量指标要求：</w:t>
            </w:r>
          </w:p>
          <w:p>
            <w:pPr>
              <w:pStyle w:val="null5"/>
              <w:jc w:val="left"/>
            </w:pPr>
            <w:r>
              <w:rPr>
                <w:rFonts w:ascii="仿宋_GB2312" w:hAnsi="仿宋_GB2312" w:cs="仿宋_GB2312" w:eastAsia="仿宋_GB2312"/>
              </w:rPr>
              <w:t>1、0.012mm高强度加厚地膜，原材料中不得加入再生料以及国家明确禁止使用、不利于作物生长和对土壤有害的助剂；</w:t>
            </w:r>
          </w:p>
          <w:p>
            <w:pPr>
              <w:pStyle w:val="null5"/>
              <w:jc w:val="left"/>
            </w:pPr>
            <w:r>
              <w:rPr>
                <w:rFonts w:ascii="仿宋_GB2312" w:hAnsi="仿宋_GB2312" w:cs="仿宋_GB2312" w:eastAsia="仿宋_GB2312"/>
              </w:rPr>
              <w:t>2、总灰≤0.5%；</w:t>
            </w:r>
          </w:p>
          <w:p>
            <w:pPr>
              <w:pStyle w:val="null5"/>
              <w:jc w:val="left"/>
            </w:pPr>
            <w:r>
              <w:rPr>
                <w:rFonts w:ascii="仿宋_GB2312" w:hAnsi="仿宋_GB2312" w:cs="仿宋_GB2312" w:eastAsia="仿宋_GB2312"/>
              </w:rPr>
              <w:t>★3、外观不应有影响使用的气泡、杂质、条纹、穿孔、褶皱等缺陷，膜卷应卷绕整齐，不应有明显的暴筋；</w:t>
            </w:r>
          </w:p>
          <w:p>
            <w:pPr>
              <w:pStyle w:val="null5"/>
              <w:jc w:val="left"/>
            </w:pPr>
            <w:r>
              <w:rPr>
                <w:rFonts w:ascii="仿宋_GB2312" w:hAnsi="仿宋_GB2312" w:cs="仿宋_GB2312" w:eastAsia="仿宋_GB2312"/>
              </w:rPr>
              <w:t>4、有效使用时间应≥180天；</w:t>
            </w:r>
          </w:p>
          <w:p>
            <w:pPr>
              <w:pStyle w:val="null5"/>
              <w:jc w:val="left"/>
            </w:pPr>
            <w:r>
              <w:rPr>
                <w:rFonts w:ascii="仿宋_GB2312" w:hAnsi="仿宋_GB2312" w:cs="仿宋_GB2312" w:eastAsia="仿宋_GB2312"/>
              </w:rPr>
              <w:t>★5、力学性能上，拉伸负荷（纵、横向）≥2.2N；</w:t>
            </w:r>
          </w:p>
          <w:p>
            <w:pPr>
              <w:pStyle w:val="null5"/>
              <w:jc w:val="left"/>
            </w:pPr>
            <w:r>
              <w:rPr>
                <w:rFonts w:ascii="仿宋_GB2312" w:hAnsi="仿宋_GB2312" w:cs="仿宋_GB2312" w:eastAsia="仿宋_GB2312"/>
              </w:rPr>
              <w:t>★6、断裂标称应变（纵、横向）≥300%;</w:t>
            </w:r>
          </w:p>
          <w:p>
            <w:pPr>
              <w:pStyle w:val="null5"/>
              <w:jc w:val="left"/>
            </w:pPr>
            <w:r>
              <w:rPr>
                <w:rFonts w:ascii="仿宋_GB2312" w:hAnsi="仿宋_GB2312" w:cs="仿宋_GB2312" w:eastAsia="仿宋_GB2312"/>
              </w:rPr>
              <w:t>★7、直角撕裂负荷（纵、横向）≥1.2N；</w:t>
            </w:r>
          </w:p>
          <w:p>
            <w:pPr>
              <w:pStyle w:val="null5"/>
              <w:jc w:val="left"/>
            </w:pPr>
            <w:r>
              <w:rPr>
                <w:rFonts w:ascii="仿宋_GB2312" w:hAnsi="仿宋_GB2312" w:cs="仿宋_GB2312" w:eastAsia="仿宋_GB2312"/>
              </w:rPr>
              <w:t>★8、纵向断裂标称应变保留率≥50%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投标产品的技术参数完全满足或高于招标文件要求的得15分，标记★为重要产品参数每有一项负偏离扣3分，其他参数每有一项负偏离扣1分扣完为止（重要产品参数须提供检测机构出具的检验检测报告且检验检测报告出具日期在项目公告之前,无质检报告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供货保障</w:t>
            </w:r>
          </w:p>
        </w:tc>
        <w:tc>
          <w:tcPr>
            <w:tcW w:type="dxa" w:w="3115"/>
          </w:tcPr>
          <w:p>
            <w:pPr>
              <w:pStyle w:val="null5"/>
              <w:jc w:val="left"/>
            </w:pPr>
            <w:r>
              <w:rPr>
                <w:rFonts w:ascii="仿宋_GB2312" w:hAnsi="仿宋_GB2312" w:cs="仿宋_GB2312" w:eastAsia="仿宋_GB2312"/>
              </w:rPr>
              <w:t>供应商提供的供货保障方案、供货进度保证措施、特殊情况下的保管运输防护等主要保障措施：1、有完整的供货方案，进度控制目标明确、方法可行、措施具体、针对性强，得12分；2、供货方案比较详细，进度目标基本明确，措施可行，得7分；3、供货方案简单，进度编制粗糙，仅有简单的表述，得3分。4、不提供，无相关内容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据供应商提供的针对可能出现的紧急情况（如紧急供货、地膜破损等不可抗力）的应急预案，视编写情况进行评审：1、内容全面、详细，针对性、可操作性强，能力完全满足项目要求，得8分；2、内容比较全面、详细，针对性较强，基本满足项目需求，得5分。3、内容偏简单，可操作性一般，得2分；4、不提供，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存储方案</w:t>
            </w:r>
          </w:p>
        </w:tc>
        <w:tc>
          <w:tcPr>
            <w:tcW w:type="dxa" w:w="3115"/>
          </w:tcPr>
          <w:p>
            <w:pPr>
              <w:pStyle w:val="null5"/>
              <w:jc w:val="left"/>
            </w:pPr>
            <w:r>
              <w:rPr>
                <w:rFonts w:ascii="仿宋_GB2312" w:hAnsi="仿宋_GB2312" w:cs="仿宋_GB2312" w:eastAsia="仿宋_GB2312"/>
              </w:rPr>
              <w:t>根据存储方案满足甲方进度要求情况及方案描述合理可行性进行评审：1、存储在清洁、阴凉的库房内，严禁暴晒，存储方案科学、可行，得8分。2、存储方案比较科学、可行，得5分。3、储存方案一般，不够科学，得2分。4、储存不合理，不提供，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技术指导</w:t>
            </w:r>
          </w:p>
        </w:tc>
        <w:tc>
          <w:tcPr>
            <w:tcW w:type="dxa" w:w="3115"/>
          </w:tcPr>
          <w:p>
            <w:pPr>
              <w:pStyle w:val="null5"/>
              <w:jc w:val="left"/>
            </w:pPr>
            <w:r>
              <w:rPr>
                <w:rFonts w:ascii="仿宋_GB2312" w:hAnsi="仿宋_GB2312" w:cs="仿宋_GB2312" w:eastAsia="仿宋_GB2312"/>
              </w:rPr>
              <w:t>根据供应商针对产品的主要技术保证措施，能够对农户全程组织技术指导和服务技术人员最低要求为3人进行综合评定：1、投入技术人员充足、技术指导方案、培训内容完善、合理、可行，得7分；2、投入技术人员比较充足，培训内容较完善、指导性较强，得4分；3、投入技术人员较少，指导方案简略得2分。4、不提供，无相关内容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供应商2022年1月至今承担过类似项目采购的，有一项得3分，最多得9分。（以合同签订日期为准，投标文件中需提供合同扫描件）</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供应商出具的售后服务方案进行评定：1、内容需包含售后服务方案、响应机制等进行综合评比，方案科学合理，措施得力，响应机制健全得11分；2、方案基本符合项目需要，措施可行得7分；3、方案符合项目需要，内容有欠缺，措施不全面得3分；4、不提供，无相关内容不得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