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梧桐花镇毛家窝铺村通组路建设项目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翁牛特旗梧桐花镇人民政府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赤峰市坤泽工程项目管理有限公司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CFZCWQS-C-G-250006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赤峰市坤泽工程项目管理有限公司</w:t>
      </w:r>
      <w:r>
        <w:rPr>
          <w:rFonts w:ascii="仿宋_GB2312" w:hAnsi="仿宋_GB2312" w:cs="仿宋_GB2312" w:eastAsia="仿宋_GB2312"/>
        </w:rPr>
        <w:t xml:space="preserve"> 受 </w:t>
      </w:r>
      <w:r>
        <w:rPr>
          <w:rFonts w:ascii="仿宋_GB2312" w:hAnsi="仿宋_GB2312" w:cs="仿宋_GB2312" w:eastAsia="仿宋_GB2312"/>
        </w:rPr>
        <w:t>翁牛特旗梧桐花镇人民政府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梧桐花镇毛家窝铺村通组路建设项目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梧桐花镇毛家窝铺村通组路建设项目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CFZCWQS-C-G-250006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赤政采计划[2025]翁旗00113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1,836,289.00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梧桐花镇毛家窝铺村通组路建设项目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1,836,289.00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1、特定资格要求：本项目要求投标人具有独立法人资格提供有效营业执照，同时具备公路工程施工总承包三级（含三级）以上资质和有效的安全生产许可证，并在人员、设备、资金等方面具有相应的施工能力。 2、现场管理机构组成人员：①项目经理（公路工程相关专业工程师及以上职称证书、公路工程专业贰级及以上建造师注册证书、在有效期内的省级交通运输主管部门核发的行业类别代码为G（公路工程）的B类公路水运工程施工企业主要负责人和安全生产管理人员安全生产考核合格证书）；②项目总工(公路工程相关专业工程师及以上职称证书、在有效期内的省级交通运输主管部门核发的行业类别代码为G（公路工程）的B类公路水运工程施工企业主要负责人和安全生产管理人员安全生产考核合格证书）；③安全负责人（省级交通运输主管部门核发的行业类别代码为G（公路工程）的C类公路水运工程施工企业主要负责人和安全生产管理人员安全生产考核合格证书，在有效期内）。现场管理机构人员与投标单位签订的有效劳动合同及2024年9月至今至少1个月加盖社保机构公章的养老保险缴纳个人明细，或对账单，或社保网页截图加盖单位公章，或有效退休证明。</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赤峰市坤泽工程项目管理有限公司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内蒙古自治区赤峰市敖汉旗兴隆街东新园路南万和家园52-1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尉俊祥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15148379688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翁牛特旗梧桐花镇人民政府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翁牛特旗梧桐花镇西梧桐花村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肖扬</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15647646607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本项目只有一个包。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翁牛特旗梧桐花镇人民政府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赤峰市坤泽工程项目管理有限公司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硬化毛家窝铺村乌哈线至二八地组水泥路4.22公里，宽度3.5米，混凝土厚18公分，路肩1.4米。</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合同签订后90日历天完工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毛家窝铺村乌哈线至二八地组</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1、工程竣工验收合格后，付合同价款的97%，达到付款条件起30日，支付合同总金额的97.00%</w:t>
            </w:r>
          </w:p>
          <w:p>
            <w:pPr>
              <w:pStyle w:val="null5"/>
              <w:jc w:val="left"/>
            </w:pPr>
            <w:r>
              <w:rPr>
                <w:rFonts w:ascii="仿宋_GB2312" w:hAnsi="仿宋_GB2312" w:cs="仿宋_GB2312" w:eastAsia="仿宋_GB2312"/>
              </w:rPr>
              <w:t>2、剩余3%作为质量保证金，验收合格之日起一年后无质量问题无息付清。，达到付款条件起30日，支付合同总金额的3.00%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标的名称：梧桐花镇毛家窝铺村通组路建设项目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施工要求：施工过程中，成交供应商必须按照国家现行的安全施工规定要求进行施工，所引起的噪音污染、环境污染等问题，由成交供应商负责妥善处理，如发生一切因安全生产的事故、纠纷等均由成交供应商承担责任。</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施工所涉及到的所有材料必须符合国家相关标准。</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质量要求：达到国家、行业、地方的合格标准，并经有关部门验收合格为准。</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安全文明施工要求：施工过程中，所引起的噪音污染、环境污染等问题，由成交供应商负责妥善处理，如发生一切因安全文明产生的事故、纠纷等均由成交供应商承担责任。</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供应商须提供有效的营业执照或事业单位法人证书或自然人的身份证明或其他证明文件。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到提交响应文件的截止时间，供应商在“信用中国”网站未被列入失信被执行人、重大税收违法失信主体、政府采购严重违法失信行为记录名单和中国政府采购网未被列入政府采购严重违法失信行为记录名单。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本项目要求投标人具有独立法人资格提供有效营业执照，同时具备公路工程施工总承包三级（含三级）以上资质和有效的安全生产许可证，并在人员、设备、资金等方面具有相应的施工能力。 2、现场管理机构组成人员：①项目经理（公路工程相关专业工程师及以上职称证书、公路工程专业贰级及以上建造师注册证书、在有效期内的省级交通运输主管部门核发的行业类别代码为G（公路工程）的B类公路水运工程施工企业主要负责人和安全生产管理人员安全生产考核合格证书）；②项目总工(公路工程相关专业工程师及以上职称证书、在有效期内的省级交通运输主管部门核发的行业类别代码为G（公路工程）的B类公路水运工程施工企业主要负责人和安全生产管理人员安全生产考核合格证书）；③安全负责人（省级交通运输主管部门核发的行业类别代码为G（公路工程）的C类公路水运工程施工企业主要负责人和安全生产管理人员安全生产考核合格证书，在有效期内）。现场管理机构人员与投标单位签订的有效劳动合同及2024年9月至今至少1个月加盖社保机构公章的养老保险缴纳个人明细，或对账单，或社保网页截图加盖单位公章，或有效退休证明。</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施工方案和技术措施</w:t>
            </w:r>
          </w:p>
        </w:tc>
        <w:tc>
          <w:tcPr>
            <w:tcW w:type="dxa" w:w="3115"/>
          </w:tcPr>
          <w:p>
            <w:pPr>
              <w:pStyle w:val="null5"/>
              <w:jc w:val="left"/>
            </w:pPr>
            <w:r>
              <w:rPr>
                <w:rFonts w:ascii="仿宋_GB2312" w:hAnsi="仿宋_GB2312" w:cs="仿宋_GB2312" w:eastAsia="仿宋_GB2312"/>
              </w:rPr>
              <w:t>①施工技术方案合理且能指导施工，内容具体且有针对性，施工部署全面的，得15分；②施工技术方案比较合理且能指导施工，施工措施、施工部署比较全面的，得10分；③施工技术方案基本合理，对施工指导性基本可行，施工措施、施工部署基本合理的，得6分；④施工技术方案一般，对施工缺乏指导性，施工措施、施工部署一般的，得3分；⑤施工技术方案、施工措施、施工部署存在明显错误或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质量承诺及保证措施</w:t>
            </w:r>
          </w:p>
        </w:tc>
        <w:tc>
          <w:tcPr>
            <w:tcW w:type="dxa" w:w="3115"/>
          </w:tcPr>
          <w:p>
            <w:pPr>
              <w:pStyle w:val="null5"/>
              <w:jc w:val="left"/>
            </w:pPr>
            <w:r>
              <w:rPr>
                <w:rFonts w:ascii="仿宋_GB2312" w:hAnsi="仿宋_GB2312" w:cs="仿宋_GB2312" w:eastAsia="仿宋_GB2312"/>
              </w:rPr>
              <w:t>①质量保证措施严格按照施工技术规范、标准编制且针对性非常合理的，得15分；②质量保证措施按照施工技术规范、标准编制且针对性比较合理的，得10分；③质量保证措施基本能够按照施工技术规范、标准编制且针对性基本合理的，得6分；④质量保证措施一般，针对性一般的，得3分；⑤对质量无承诺或质量保证措施未达到采购文件要求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安全施工措施</w:t>
            </w:r>
          </w:p>
        </w:tc>
        <w:tc>
          <w:tcPr>
            <w:tcW w:type="dxa" w:w="3115"/>
          </w:tcPr>
          <w:p>
            <w:pPr>
              <w:pStyle w:val="null5"/>
              <w:jc w:val="left"/>
            </w:pPr>
            <w:r>
              <w:rPr>
                <w:rFonts w:ascii="仿宋_GB2312" w:hAnsi="仿宋_GB2312" w:cs="仿宋_GB2312" w:eastAsia="仿宋_GB2312"/>
              </w:rPr>
              <w:t>①安全施工方案非常具体、完整、可行，保证措施非常合理、先进、针对性非常强的，得10分；②安全施工施方案比较具体、完整、可行，保证措施比较合理、针对性比较合理的，得7分；③安全施工方案基本具体、完整、可行，保证措施基本合理的，得4分；④安全施工方案一般，保证措施针对性一般的，得2分；⑤安全施工方案和保证措施不合理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文明施工措施</w:t>
            </w:r>
          </w:p>
        </w:tc>
        <w:tc>
          <w:tcPr>
            <w:tcW w:type="dxa" w:w="3115"/>
          </w:tcPr>
          <w:p>
            <w:pPr>
              <w:pStyle w:val="null5"/>
              <w:jc w:val="left"/>
            </w:pPr>
            <w:r>
              <w:rPr>
                <w:rFonts w:ascii="仿宋_GB2312" w:hAnsi="仿宋_GB2312" w:cs="仿宋_GB2312" w:eastAsia="仿宋_GB2312"/>
              </w:rPr>
              <w:t>①文明施工方案非常具体、完整、可行，保证措施非常合理、先进、针对性非常强的，得10分；②文明施工施方案比较具体、完整、可行，保证措施比较合理、针对性比较合理的，得7分；③文明施工方案基本具体、完整、可行，保证措施基本合理的，得4分；④文明施工方案一般，保证措施针对性一般的，得2分；⑤文明施工方案和保证措施不合理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①环境保护措施非常安全得力、减少噪音，降低环境污染措施非常可行的得10分；②环境保护措施比较安全得力、减少噪音，降低环境污染措施比较可行的得7分；③环境保护措施基本安全得力，降低环境污染措施基本可行的得4分；④环境保护措施一般，降低环境污染措施一般的得2分；⑤环境保护措施不合理，降低环境污染措施不可行，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①施工进度计划严格按采购文件要求安排，工序搭配逻辑关系和关键线路非常清晰、合理，并能指导施工且针对性合理的，得10分；②施工进度计划按采购文件要求安排，工序搭配逻辑关系和关键线路比较清晰、合理，并能指导施工且针对性比较合理的，得7分；③施工进度计划按采购文件要求安排，工序搭配逻辑关系和关键线路基本合理，针对性基本合理的，得4分；④施工进度计划安排一般，工序搭配逻辑关系和关键线路一般，针对性一般的，得2分； ⑤施工进度计划不合理或未提供施工进度计划的，得0分。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①资源投入计划合理、可行，满足本项目要求，劳动力、施工机械搭配非常合理、准确的，得10分；②资源投入计划比较合理、可行，满足本项目要求，劳动力、施工机械搭配比较合理、准确的，得7分；③资源投入计划基本合理、可行，基本满足本项目要求，劳动力、施工机械搭配基本合理的，得4分；④资源投入计划一般合理、可行，劳动力、施工机械搭配一般的，得2分；⑤资源投入计划不合理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投标单位2022年1月1日至投标截止日与本工程相类似的（公路工程或道路工程）工程业绩,附中标通知书、施工合同有一项得5.0分，最多得10分。（以施工合同日期为准）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