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乌丹镇驿马吐村街巷硬化项目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翁牛特旗乌丹镇人民政府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国友项目管理集团有限公司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CFZCWQS-C-G-250008</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国友项目管理集团有限公司</w:t>
      </w:r>
      <w:r>
        <w:rPr>
          <w:rFonts w:ascii="仿宋_GB2312" w:hAnsi="仿宋_GB2312" w:cs="仿宋_GB2312" w:eastAsia="仿宋_GB2312"/>
        </w:rPr>
        <w:t xml:space="preserve"> 受 </w:t>
      </w:r>
      <w:r>
        <w:rPr>
          <w:rFonts w:ascii="仿宋_GB2312" w:hAnsi="仿宋_GB2312" w:cs="仿宋_GB2312" w:eastAsia="仿宋_GB2312"/>
        </w:rPr>
        <w:t>翁牛特旗乌丹镇人民政府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乌丹镇驿马吐村街巷硬化项目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乌丹镇驿马吐村街巷硬化项目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CFZCWQS-C-G-250008</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赤政采计划[2025]翁旗00120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1,496,743.00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乌丹镇驿马吐村街巷硬化项目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1,496,743.00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1、资格审查：1、投标人具有独立法人资格提供有效营业执照，同时具备公路工程施工总承包三级（含三级）以上资质和有效的安全 生产许可证，并在人员、设备、资金等方面具有相应的施工 能力。 2、拟派本项目项目负责人须具有公路工程专业贰级 及以上建造师注册证书，项目经理未在其他在施建设工程项 目中任职（需提供《潜在投标人或投标人拟派项目负责人未 在其他在施建设工程项目中任职承诺书》）</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国友项目管理集团有限公司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赤峰市红山区桥北新区北大桥路西、锡泊河街南君晟大厦A座</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15648619305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翁牛特旗乌丹镇人民政府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翁牛特旗乌丹镇</w:t>
      </w:r>
    </w:p>
    <w:p>
      <w:pPr>
        <w:pStyle w:val="null5"/>
      </w:pPr>
      <w:r>
        <w:rPr>
          <w:rFonts w:ascii="仿宋_GB2312" w:hAnsi="仿宋_GB2312" w:cs="仿宋_GB2312" w:eastAsia="仿宋_GB2312"/>
        </w:rPr>
        <w:t xml:space="preserve"> 邮编： </w:t>
      </w:r>
      <w:r>
        <w:rPr>
          <w:rFonts w:ascii="仿宋_GB2312" w:hAnsi="仿宋_GB2312" w:cs="仿宋_GB2312" w:eastAsia="仿宋_GB2312"/>
        </w:rPr>
        <w:t>024500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那存白音</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15049633148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代理服务费收费标准：参照（内工建协﹝2022﹞34号）文件的规定收费收取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翁牛特旗乌丹镇人民政府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国友项目管理集团有限公司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主要内容: 新建乌丹镇驿马吐村街巷硬化项目长度 2.667km。路基宽 4.5 米，路面宽3.5米，路面结构为水泥混凝土路面。</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合同签订后两个月内完成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乌丹镇驿马吐村</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1、工程验收合格后，付合同总价款的90%，达到付款条件起7日，支付合同总金额的90.00%</w:t>
            </w:r>
          </w:p>
          <w:p>
            <w:pPr>
              <w:pStyle w:val="null5"/>
              <w:jc w:val="left"/>
            </w:pPr>
            <w:r>
              <w:rPr>
                <w:rFonts w:ascii="仿宋_GB2312" w:hAnsi="仿宋_GB2312" w:cs="仿宋_GB2312" w:eastAsia="仿宋_GB2312"/>
              </w:rPr>
              <w:t>2、工程结算审计完成后，付至合同金额的97%（以最终结算审计金额），达到付款条件起7日，支付合同总金额的7.00%</w:t>
            </w:r>
          </w:p>
          <w:p>
            <w:pPr>
              <w:pStyle w:val="null5"/>
              <w:jc w:val="left"/>
            </w:pPr>
            <w:r>
              <w:rPr>
                <w:rFonts w:ascii="仿宋_GB2312" w:hAnsi="仿宋_GB2312" w:cs="仿宋_GB2312" w:eastAsia="仿宋_GB2312"/>
              </w:rPr>
              <w:t>3、待工程质保期满后，工程无任何质量问题一次性付清，达到付款条件起7日，支付合同总金额的3.00%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交货条件</w:t>
            </w:r>
          </w:p>
        </w:tc>
        <w:tc>
          <w:tcPr>
            <w:tcW w:type="dxa" w:w="2076"/>
          </w:tcPr>
          <w:p>
            <w:pPr>
              <w:pStyle w:val="null5"/>
              <w:jc w:val="left"/>
            </w:pPr>
            <w:r>
              <w:rPr>
                <w:rFonts w:ascii="仿宋_GB2312" w:hAnsi="仿宋_GB2312" w:cs="仿宋_GB2312" w:eastAsia="仿宋_GB2312"/>
              </w:rPr>
              <w:t>完成图纸及工程量清单包含的全部内容</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标的名称：乌丹镇驿马吐村街巷硬化项目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19"/>
                <w:color w:val="000000"/>
              </w:rPr>
              <w:t>招标范围：施工图纸和工程量清单所示全部内容施工。</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19"/>
                <w:color w:val="000000"/>
              </w:rPr>
              <w:t>质量标准：符合现行国家及相应行业标准合格。</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19"/>
                <w:color w:val="000000"/>
              </w:rPr>
              <w:t>质保要求：按国家相应标准执行，质保期内出现质量问题由成交供应商免费维修、维护</w:t>
            </w:r>
            <w:r>
              <w:rPr>
                <w:rFonts w:ascii="仿宋_GB2312" w:hAnsi="仿宋_GB2312" w:cs="仿宋_GB2312" w:eastAsia="仿宋_GB2312"/>
                <w:sz w:val="19"/>
                <w:color w:val="000000"/>
              </w:rPr>
              <w:t>。若出现质量问题，应及时派人到现场进行处理，达到采购单位满意。</w:t>
            </w: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19"/>
                <w:color w:val="000000"/>
              </w:rPr>
              <w:t>施工要求：施工过程中，成交供应商必须按照相关规定要求进行施工。竣工验收前，成</w:t>
            </w:r>
            <w:r>
              <w:rPr>
                <w:rFonts w:ascii="仿宋_GB2312" w:hAnsi="仿宋_GB2312" w:cs="仿宋_GB2312" w:eastAsia="仿宋_GB2312"/>
                <w:sz w:val="19"/>
                <w:color w:val="000000"/>
              </w:rPr>
              <w:t>交供应商负责保护工程成品和工程现场人员的全部安全，如发生一切安全责任事故，由</w:t>
            </w:r>
            <w:r>
              <w:rPr>
                <w:rFonts w:ascii="仿宋_GB2312" w:hAnsi="仿宋_GB2312" w:cs="仿宋_GB2312" w:eastAsia="仿宋_GB2312"/>
                <w:sz w:val="19"/>
                <w:color w:val="000000"/>
              </w:rPr>
              <w:t>成交供应商承担全部责任。</w:t>
            </w:r>
          </w:p>
        </w:tc>
      </w:tr>
      <w:tr>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19"/>
                <w:color w:val="000000"/>
              </w:rPr>
              <w:t>材料要求：成交供应商须提供材料质量合格证明和环保证明，如涉及相关材料检测费用</w:t>
            </w:r>
            <w:r>
              <w:rPr>
                <w:rFonts w:ascii="仿宋_GB2312" w:hAnsi="仿宋_GB2312" w:cs="仿宋_GB2312" w:eastAsia="仿宋_GB2312"/>
                <w:sz w:val="19"/>
                <w:color w:val="000000"/>
              </w:rPr>
              <w:t>由成交供应商自行承担，并保证所用材料符合国家行业标准规定和健康环保要求。施工</w:t>
            </w:r>
            <w:r>
              <w:rPr>
                <w:rFonts w:ascii="仿宋_GB2312" w:hAnsi="仿宋_GB2312" w:cs="仿宋_GB2312" w:eastAsia="仿宋_GB2312"/>
                <w:sz w:val="19"/>
                <w:color w:val="000000"/>
              </w:rPr>
              <w:t>过程中，成交供应商所用材料须符合相关要求，成交供应商负责材料的合格性，如发生</w:t>
            </w:r>
            <w:r>
              <w:rPr>
                <w:rFonts w:ascii="仿宋_GB2312" w:hAnsi="仿宋_GB2312" w:cs="仿宋_GB2312" w:eastAsia="仿宋_GB2312"/>
                <w:sz w:val="19"/>
                <w:color w:val="000000"/>
              </w:rPr>
              <w:t>一切质量问题由成交供应商承担。</w:t>
            </w:r>
          </w:p>
        </w:tc>
      </w:tr>
      <w:tr>
        <w:tc>
          <w:tcPr>
            <w:tcW w:type="dxa" w:w="2769"/>
          </w:tcPr>
          <w:p>
            <w:pPr>
              <w:pStyle w:val="null5"/>
              <w:jc w:val="left"/>
            </w:pPr>
            <w:r>
              <w:rPr>
                <w:rFonts w:ascii="仿宋_GB2312" w:hAnsi="仿宋_GB2312" w:cs="仿宋_GB2312" w:eastAsia="仿宋_GB2312"/>
              </w:rPr>
              <w:t>6</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19"/>
                <w:color w:val="000000"/>
              </w:rPr>
              <w:t>安全文明施工要求：施工过程中，成交供应商必须按照国家、自治区、赤峰市现行的安</w:t>
            </w:r>
            <w:r>
              <w:rPr>
                <w:rFonts w:ascii="仿宋_GB2312" w:hAnsi="仿宋_GB2312" w:cs="仿宋_GB2312" w:eastAsia="仿宋_GB2312"/>
                <w:sz w:val="19"/>
                <w:color w:val="000000"/>
              </w:rPr>
              <w:t>全文明施工规定要求进行施工，所引起的噪音污染、环境污染等问题，由成交供应商负</w:t>
            </w:r>
            <w:r>
              <w:rPr>
                <w:rFonts w:ascii="仿宋_GB2312" w:hAnsi="仿宋_GB2312" w:cs="仿宋_GB2312" w:eastAsia="仿宋_GB2312"/>
                <w:sz w:val="19"/>
                <w:color w:val="000000"/>
              </w:rPr>
              <w:t>责妥善处理，如发生一切因安全文明产生的事故、纠纷等均由成交供应商承担责任。</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供应商须提供有效的营业执照。</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审查投标人2023或2024年度经会计师事务所出具的财务审 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 好缴纳税收的相关凭据。（以税务机关提供的纳税凭据或银 行入账单为准）2.提供递交响应文件截止之日前一年内（至 少一个月）缴纳社会保险的凭证。（以专用收据或社会保险 缴纳清单为准） 注：其他组织和自然人也需要提供缴纳税收 的凭据金额缴纳社保的凭据。依法免税或不需要缴纳社会保 障资金的供应商，应提供相应文件证明其依法免税或不需要 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（1）经“信用中国” 网站查询的供应商未被列入“ 失信被执 行人” 的网页截图、“重大税收违法失信主体”的网页截图、“ 政府采购严重违法失信行为记录名单”的网页截图； （2） 经“ 中国政府采购 网”网站查询的供应商未被列入“政府采购 严重违法失信行为记录名单”的网页截图。注①截图须明确显 示截取时间。</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资格审查</w:t>
            </w:r>
          </w:p>
        </w:tc>
        <w:tc>
          <w:tcPr>
            <w:tcW w:type="dxa" w:w="4984"/>
          </w:tcPr>
          <w:p>
            <w:pPr>
              <w:pStyle w:val="null5"/>
              <w:jc w:val="left"/>
            </w:pPr>
            <w:r>
              <w:rPr>
                <w:rFonts w:ascii="仿宋_GB2312" w:hAnsi="仿宋_GB2312" w:cs="仿宋_GB2312" w:eastAsia="仿宋_GB2312"/>
              </w:rPr>
              <w:t>1、投标人具有独立法人资格提供有效营业执照，同时具备公路工程施工总承包三级（含三级）以上资质和有效的安全 生产许可证，并在人员、设备、资金等方面具有相应的施工 能力。 2、拟派本项目项目负责人须具有公路工程专业贰级 及以上建造师注册证书，项目经理未在其他在施建设工程项 目中任职（需提供《潜在投标人或投标人拟派项目负责人未 在其他在施建设工程项目中任职承诺书》）</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本采购包属于专门面向小微企业采购。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商务部分25.00分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施工技术方案</w:t>
            </w:r>
          </w:p>
        </w:tc>
        <w:tc>
          <w:tcPr>
            <w:tcW w:type="dxa" w:w="3115"/>
          </w:tcPr>
          <w:p>
            <w:pPr>
              <w:pStyle w:val="null5"/>
              <w:jc w:val="left"/>
            </w:pPr>
            <w:r>
              <w:rPr>
                <w:rFonts w:ascii="仿宋_GB2312" w:hAnsi="仿宋_GB2312" w:cs="仿宋_GB2312" w:eastAsia="仿宋_GB2312"/>
              </w:rPr>
              <w:t>根据投标人提供的施工技术方案进行评审， ①施工技术方案合理且能指导施工，内容具 体且有针对性，施工部署全面的，得9.0分； ②施工技术方案较为合理且能指导施工，施 工措施、施工部署较为全面的，得6.0分；③ 施工技术方案基本合理，对施工指导性基本 可行，施工措施、施工部署 基本合理的，得 3.0分； ④施工技术方案、施工措施、施工 部署存在明显错误或未提供的，得0分。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w:t>
            </w:r>
          </w:p>
        </w:tc>
        <w:tc>
          <w:tcPr>
            <w:tcW w:type="dxa" w:w="3115"/>
          </w:tcPr>
          <w:p>
            <w:pPr>
              <w:pStyle w:val="null5"/>
              <w:jc w:val="left"/>
            </w:pPr>
            <w:r>
              <w:rPr>
                <w:rFonts w:ascii="仿宋_GB2312" w:hAnsi="仿宋_GB2312" w:cs="仿宋_GB2312" w:eastAsia="仿宋_GB2312"/>
              </w:rPr>
              <w:t>根据投标人提供的施工进度计划进行评审， ①施工进度计划严格按采购要求安排，工序 搭配逻辑关系和关键线路清晰、合理，并能 指导施工且针对性合理的，得8.0分； ②施 工进度计划按采购文件要求安排，工序搭配 逻辑关系和关键线路较为清晰、合理，并能 指导施工且针对性较为合理的，得5.0分； ③施工进度计划按采购文件要求安排，工序 搭配逻辑关系和关键线路基本合理，针对性 基本合理的，得2.0分；④施工进度计划不合 理或未提供施工进度计划的，得0分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根据投标人提供的质量管理体系与措施进行 评审，有完整的质量保证措施，先进可行。 有针对本工程的通病治理措施等进行评审。 ①质量管理体系计划具体、完整、可行，保 证措施合理、先进、针对性强的，得8.0分； ②质量管理体系计划较为具体、完整、可行 ，保证措施较为合理、针对性较为合理的， 得5.0分；③质量管理体系计划一般，保证措 施针对性一般的，得2.0分；④质量管理体系 及保证措施计划不合理或未提供的，得0分 。</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根据投标人提供的安全管理体系与措施，满 足磋商文件要求，安全管理体系健全、安全 防护方案符合国家及地方管理规定，防护措 施有针对性等进行评审。①安全管理体系计 划具体、完整、可行，保证措施合理、先进 、针对性强的，得8.0分；②安全管理体系计 划较为具体、完整、可行，保证措施较为合 理、针对性较为合理的，得5.0分；③安全管 理体系计划一般，保证措施针对性一般的， 得2.0分；④安全管理体系计划不合理或未提 供的，得0分。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根据环境保护管理体系健全、污染物处理及 排放符合国家及地方环境保护标准、技术及 管理措施到位情况，综合评定。①环境保护 管理体系计划内容完善、合理，完全满足本 项目需求得8.0分；②环境保护管理体系计划 内容比较完善、比较合理，较满足本项目需 求得5.0分；③环境保护管理体系计划内容基 本完善、基本合理，基本满足本项目需求得 2.0分；④环境保护管理体系计划内容不合理 或未提供方案的，得0分。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劳动力安排和施工机械投入计划</w:t>
            </w:r>
          </w:p>
        </w:tc>
        <w:tc>
          <w:tcPr>
            <w:tcW w:type="dxa" w:w="3115"/>
          </w:tcPr>
          <w:p>
            <w:pPr>
              <w:pStyle w:val="null5"/>
              <w:jc w:val="left"/>
            </w:pPr>
            <w:r>
              <w:rPr>
                <w:rFonts w:ascii="仿宋_GB2312" w:hAnsi="仿宋_GB2312" w:cs="仿宋_GB2312" w:eastAsia="仿宋_GB2312"/>
              </w:rPr>
              <w:t>根据投标人提供的劳动力安排和施工机械投 入计划进行评审，①劳动力安排和施工机械 投入计划非常合理、可行，与施工进度计划 呼应，满足本项目要求，劳动力、施工机械 搭配非常合理、准确的，得8.0分；②劳动力 安排和施工机械投入计划基本合理、可行， 与施工进度计划呼应， 满足本项目要求，劳 动力、施工机械搭配比较合理、准确的得5.0 分；③劳动力安排和施工机械投入计划一般 合理、可行，劳动力、施工机械搭配一般的 ， 得2.0分；④劳动力安排和施工机械投入 计划与施工进度计划不能呼应或未提供的， 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对突发事件的应急预案</w:t>
            </w:r>
          </w:p>
        </w:tc>
        <w:tc>
          <w:tcPr>
            <w:tcW w:type="dxa" w:w="3115"/>
          </w:tcPr>
          <w:p>
            <w:pPr>
              <w:pStyle w:val="null5"/>
              <w:jc w:val="left"/>
            </w:pPr>
            <w:r>
              <w:rPr>
                <w:rFonts w:ascii="仿宋_GB2312" w:hAnsi="仿宋_GB2312" w:cs="仿宋_GB2312" w:eastAsia="仿宋_GB2312"/>
              </w:rPr>
              <w:t>根据投标人对突发事件 (包括发生大风、暴 雨等灾害性天气及火灾等其他突发事件)时的 应急预案及相应的措施进行综合比较。①措 施内容完善、合理，可实施性 较强，得8.0 分；②措施内容基本完善、合理，基本可行 ，得5.0分；③措施内容一般、一般合理，一 般可行，得2.0分；④措施内容不合理或未提 供方案的，得0分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质保期服务方案</w:t>
            </w:r>
          </w:p>
        </w:tc>
        <w:tc>
          <w:tcPr>
            <w:tcW w:type="dxa" w:w="3115"/>
          </w:tcPr>
          <w:p>
            <w:pPr>
              <w:pStyle w:val="null5"/>
              <w:jc w:val="left"/>
            </w:pPr>
            <w:r>
              <w:rPr>
                <w:rFonts w:ascii="仿宋_GB2312" w:hAnsi="仿宋_GB2312" w:cs="仿宋_GB2312" w:eastAsia="仿宋_GB2312"/>
              </w:rPr>
              <w:t>根据投标人的质保期服务方案进行评审，① 提供完整、全面的服务方案和科学、完整的 保障方案，服务内容具体齐全：8.0分；②服 务和保障方案比较完整，服务内容比较齐全 ：5.0分；③服务和保障方案基本完整，服务 内容基本齐全：2.0分；④内容明显缺漏、或 不合理、或不可行、或未提供：0分。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工程业绩</w:t>
            </w:r>
          </w:p>
        </w:tc>
        <w:tc>
          <w:tcPr>
            <w:tcW w:type="dxa" w:w="3115"/>
          </w:tcPr>
          <w:p>
            <w:pPr>
              <w:pStyle w:val="null5"/>
              <w:jc w:val="left"/>
            </w:pPr>
            <w:r>
              <w:rPr>
                <w:rFonts w:ascii="仿宋_GB2312" w:hAnsi="仿宋_GB2312" w:cs="仿宋_GB2312" w:eastAsia="仿宋_GB2312"/>
              </w:rPr>
              <w:t>投标单位提供2022年1月1日至投标截止日与本工程相类似的工程业绩，附中标通知书 、施工合同有一项得5.0分，最多得15.0分 。（具体日期以施工合同日期为准）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不拖欠农牧民工工资承诺函</w:t>
            </w:r>
          </w:p>
        </w:tc>
        <w:tc>
          <w:tcPr>
            <w:tcW w:type="dxa" w:w="3115"/>
          </w:tcPr>
          <w:p>
            <w:pPr>
              <w:pStyle w:val="null5"/>
              <w:jc w:val="left"/>
            </w:pPr>
            <w:r>
              <w:rPr>
                <w:rFonts w:ascii="仿宋_GB2312" w:hAnsi="仿宋_GB2312" w:cs="仿宋_GB2312" w:eastAsia="仿宋_GB2312"/>
              </w:rPr>
              <w:t>审查供应商提供不拖欠农民工工资承诺书(格 式自拟)进行评审，确保及时、足额的向所雇 佣的人员支付劳动报酬，并制定严格的工人 工资支付保障措施，不提供不得分。</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拟投入项目人员</w:t>
            </w:r>
          </w:p>
        </w:tc>
        <w:tc>
          <w:tcPr>
            <w:tcW w:type="dxa" w:w="3115"/>
          </w:tcPr>
          <w:p>
            <w:pPr>
              <w:pStyle w:val="null5"/>
              <w:jc w:val="left"/>
            </w:pPr>
            <w:r>
              <w:rPr>
                <w:rFonts w:ascii="仿宋_GB2312" w:hAnsi="仿宋_GB2312" w:cs="仿宋_GB2312" w:eastAsia="仿宋_GB2312"/>
              </w:rPr>
              <w:t>①项目经理一人（具有在有效期内的省级交通运输主管部门核发的行业类别代码为G（公路工程）的B类公路水运工程施工企业主要负责人和安全生产管理人员安全生产考核合格证书），证件提供齐全得3.0分，缺项不得分；②项目总工一人(公路工程相关专业工程师及以上职称证书），证件提供齐全得3.0分，缺项不得分；③安全负责人（省级交通运输主管部门核发的行业类别代码为G（公路工程）的C类公路水运工程施工企业主要负责人和安全生产管理人员安全生产考核合格证书，在有效期内），证件提供齐全得3.0分 ，缺项不得分。本项最高地9.0分。现场管理机构人员与投标单位签订的有效劳动合同及2024年9月至今至少1个月加盖社保机构公章的养老保险缴纳个人明细，或对账单，或社保网页截图加盖单位公章，或有效退休证明。</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