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格日僧苏木恩格尔嘎查购置农业机械项目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翁牛特旗格日僧苏木人民政府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内蒙古庚建工程项目管理有限公司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CFZCWQS-G-H-250021</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内蒙古庚建工程项目管理有限公司</w:t>
      </w:r>
      <w:r>
        <w:rPr>
          <w:rFonts w:ascii="仿宋_GB2312" w:hAnsi="仿宋_GB2312" w:cs="仿宋_GB2312" w:eastAsia="仿宋_GB2312"/>
        </w:rPr>
        <w:t xml:space="preserve"> 受 </w:t>
      </w:r>
      <w:r>
        <w:rPr>
          <w:rFonts w:ascii="仿宋_GB2312" w:hAnsi="仿宋_GB2312" w:cs="仿宋_GB2312" w:eastAsia="仿宋_GB2312"/>
        </w:rPr>
        <w:t>翁牛特旗格日僧苏木人民政府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格日僧苏木恩格尔嘎查购置农业机械项目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格日僧苏木恩格尔嘎查购置农业机械项目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CFZCWQS-G-H-250021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赤政采计划[2025]翁旗00242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1,685,900.00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拖拉机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1,086,700.00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拖拉机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421,500.00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拖斗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播种机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翻转犁</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翻转犁</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旋耕机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21,700.00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内蒙古庚建工程项目管理有限公司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内蒙古自治区赤峰市翁牛特旗内蒙古自治区赤峰市翁牛特旗乌丹镇清泉路万隆园西门南侧临街商厅门牌号680号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13304764419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翁牛特旗格日僧苏木人民政府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翁牛特旗格日僧苏木所在地</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阿木古楞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151 4733 7407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翁牛特旗格日僧苏木人民政府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内蒙古庚建工程项目管理有限公司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1、工程名称：格日僧苏木恩格尔嘎查购置农业机械项目 2、采购单位：格日僧苏木 3、采购内容：农业机械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合同签订起至履行完毕止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1、项目交付且验收合格后，直接一次性拨付货款，达到付款条件起7日，支付合同总金额的100.00%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整机外廓尺寸(长×宽×高及部位)：≥5795×3010×3220mm</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轴距：≥3015mm</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发动机标定功率：≥184kw</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最小使用质量:≥9950kg</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变速箱齿轮副轴孔中心距：≥125mm</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换挡方式：动力换挡或无极变速</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整机型式：轮式</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整机驱动型式：四驱</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常用轮距(前轮/后轮):≥1980/2100mm</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最小离地间隙及部位:≥430</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发动机标定转速:≥1950r/min</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悬挂装置型式:后置三点悬挂</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进气方式：增压中冷</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电控液压</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电控提升、电控PTO</w:t>
            </w:r>
          </w:p>
        </w:tc>
      </w:tr>
      <w:tr>
        <w:tc>
          <w:tcPr>
            <w:tcW w:type="dxa" w:w="2769"/>
          </w:tcPr>
          <w:p>
            <w:pPr>
              <w:pStyle w:val="null5"/>
              <w:jc w:val="left"/>
            </w:pPr>
            <w:r>
              <w:rPr>
                <w:rFonts w:ascii="仿宋_GB2312" w:hAnsi="仿宋_GB2312" w:cs="仿宋_GB2312" w:eastAsia="仿宋_GB2312"/>
              </w:rPr>
              <w:t>16</w:t>
            </w:r>
          </w:p>
        </w:tc>
        <w:tc>
          <w:tcPr>
            <w:tcW w:type="dxa" w:w="2769"/>
          </w:tcPr>
          <w:p/>
        </w:tc>
        <w:tc>
          <w:tcPr>
            <w:tcW w:type="dxa" w:w="2769"/>
          </w:tcPr>
          <w:p>
            <w:pPr>
              <w:pStyle w:val="null5"/>
              <w:jc w:val="left"/>
            </w:pPr>
            <w:r>
              <w:rPr>
                <w:rFonts w:ascii="仿宋_GB2312" w:hAnsi="仿宋_GB2312" w:cs="仿宋_GB2312" w:eastAsia="仿宋_GB2312"/>
              </w:rPr>
              <w:t>4组液压输出</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发动机标定功率：≥177kw</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最小使用质量:≥8700kg</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动力换挡、动力换向</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电控液压</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整机型式：轮式</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整机驱动型式：四驱</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整机外廓尺寸(长×宽×高及部位)：≥5800×2780×3300（空滤器顶部）mm</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轴距：≥3070mm</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常用轮距(前轮/后轮):≥1870/1930(mm)</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最小离地间隙及部位:≥525(牵引架底部)</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挡位数（前进/倒退）:≥32/16</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发动机标定转速:≥2200r/min</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悬挂装置型式:后置三点悬挂</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进气方式：增压中冷</w:t>
            </w:r>
          </w:p>
        </w:tc>
      </w:tr>
      <w:tr>
        <w:tc>
          <w:tcPr>
            <w:tcW w:type="dxa" w:w="2769"/>
          </w:tcPr>
          <w:p>
            <w:pPr>
              <w:pStyle w:val="null5"/>
              <w:jc w:val="left"/>
            </w:pPr>
            <w:r>
              <w:rPr>
                <w:rFonts w:ascii="仿宋_GB2312" w:hAnsi="仿宋_GB2312" w:cs="仿宋_GB2312" w:eastAsia="仿宋_GB2312"/>
              </w:rPr>
              <w:t>15</w:t>
            </w:r>
          </w:p>
        </w:tc>
        <w:tc>
          <w:tcPr>
            <w:tcW w:type="dxa" w:w="2769"/>
          </w:tcPr>
          <w:p/>
        </w:tc>
        <w:tc>
          <w:tcPr>
            <w:tcW w:type="dxa" w:w="2769"/>
          </w:tcPr>
          <w:p>
            <w:pPr>
              <w:pStyle w:val="null5"/>
              <w:jc w:val="left"/>
            </w:pPr>
            <w:r>
              <w:rPr>
                <w:rFonts w:ascii="仿宋_GB2312" w:hAnsi="仿宋_GB2312" w:cs="仿宋_GB2312" w:eastAsia="仿宋_GB2312"/>
              </w:rPr>
              <w:t>电控PTO、一键翻转</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标的名称：拖斗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长≥4.5m，宽≥2.2m，高≥1.5m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液压升降、液压翻斗</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制动系统：液压气刹</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材料：国标14方刚</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装载能力：≥6吨</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双轮胎</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工作行数：≥6行</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配套动力：≥50KW</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行距：≥500mm</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排种器形式：垂直圆盘气吸式、垂直勺轮式</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播种量：24勺盘或30孔盘</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种子箱容量：≥15L</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肥料箱容量：≥40L(口肥：≥20L)</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适用作物：玉米、高粱、谷子、葵花、豆类等</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外形尺寸(长×宽×高)：≥5600×3000×1800mm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结构型式：悬挂式；调幅犁</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犁体数量：5×2个</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翻转机构型式:液压式；全翻转式</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犁体幅宽：≥450mm</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犁体间距：≥100cm</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大梁结构：液压过载保护</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整机质量：≥1650kg</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常规作业速度：4-7公里/小时</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高效作业效率：1.5-2公顷/小时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外形尺寸(长×宽×高)：≥5000×2000×1500mm</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翻转结构型式：液压翻转</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犁体数量：4×2个</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类型:栅条</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作业幅宽：180-240cm</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作业耕深：20-40cm</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犁轮（限深轮、运输轮、尾轮）限深轮调节范围：200-500mm</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整机重量：≥1500kg</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作业效率：≥15亩/小时</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高强度耐磨钢</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刀轴转速：540/1000RPM双速变速箱</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配套动力：≥74KW</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整机重量：≥940kg</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工作宽度：≥300cm</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刀轴转速可调</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刀片数：≥72片</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传动方式：侧边齿轮传动</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刀轴两侧齿轮箱密封采用浮动油封，防水、防尘、维护方便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技术参数满足程度（30分）</w:t>
            </w:r>
          </w:p>
        </w:tc>
        <w:tc>
          <w:tcPr>
            <w:tcW w:type="dxa" w:w="3115"/>
          </w:tcPr>
          <w:p>
            <w:pPr>
              <w:pStyle w:val="null5"/>
              <w:jc w:val="left"/>
            </w:pPr>
            <w:r>
              <w:rPr>
                <w:rFonts w:ascii="仿宋_GB2312" w:hAnsi="仿宋_GB2312" w:cs="仿宋_GB2312" w:eastAsia="仿宋_GB2312"/>
              </w:rPr>
              <w:t>根据所投产品的技术性能指标与招标文件要求的技术参数的满足程度进行打分，完全满 足或优于的得30分，无标记项为一般性参数，每有一项不满足扣1分，一般性参数负偏 离14项（不包含14项）以上，作无效标处理。本项最多扣30分。（注：1.无标记项技术 参数须按具体技术(参数)要求中所需的材料提供佐证文件（根据提供的佐证材料，产品 技术参数的检验报告，或鉴定证书，或技术白皮书 ，或说明书，或网站截图，或产品彩 页等技术佐证文件，投标人认为需要提供的其他技术资料，进行判断），如未按要求提 供佐证文件或佐证文件未真实反映该指标参数的，视为不满足该参数。评标委员会按照 投标人所提供的技术偏离表进行比对。2.标★号条款为实质性条款 ，若有任何一条负偏 离或不满足做无效标处理，标★项技术参数须按具体技术(参数)要求中所需的材料提供 佐证文件，如未按要求提供佐证文件或佐证文件未真实反映该指标参数的，视为负偏离 或不满足该参数。），未提供佐证材料或佐证材料无法证明对应指标项的，判断为不满 足。</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 (5.0分)</w:t>
            </w:r>
          </w:p>
        </w:tc>
        <w:tc>
          <w:tcPr>
            <w:tcW w:type="dxa" w:w="3115"/>
          </w:tcPr>
          <w:p>
            <w:pPr>
              <w:pStyle w:val="null5"/>
              <w:jc w:val="left"/>
            </w:pPr>
            <w:r>
              <w:rPr>
                <w:rFonts w:ascii="仿宋_GB2312" w:hAnsi="仿宋_GB2312" w:cs="仿宋_GB2312" w:eastAsia="仿宋_GB2312"/>
              </w:rPr>
              <w:t>针对本项目供货制定的相关方案进行评审：供货方案科学合理，方案详细完整，可行性 强，为“优秀”等级，得5分；方案完整、合理，可行性一般，为“一般”等级，得3分； 方案描述模糊、粗糙，为“差”等级，得1分；供货期未按招标文件要求，未提供供货方 案，得0分.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安装调试验收方案 (5.0分)</w:t>
            </w:r>
          </w:p>
        </w:tc>
        <w:tc>
          <w:tcPr>
            <w:tcW w:type="dxa" w:w="3115"/>
          </w:tcPr>
          <w:p>
            <w:pPr>
              <w:pStyle w:val="null5"/>
              <w:jc w:val="left"/>
            </w:pPr>
            <w:r>
              <w:rPr>
                <w:rFonts w:ascii="仿宋_GB2312" w:hAnsi="仿宋_GB2312" w:cs="仿宋_GB2312" w:eastAsia="仿宋_GB2312"/>
              </w:rPr>
              <w:t>根据供应商提供的安装调试验收方案进行评审：安装调试验收方案完善、合理、切实可 行，为“优秀”等级，得5分；安装调试验收方案完善、合理、可行性一般，为“一般”等 级，得3分，安装调试验收方案描述模糊、粗糙，为“差”等级，得1分；未提供，得0分。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质量保证措施方案 (5.0分)</w:t>
            </w:r>
          </w:p>
        </w:tc>
        <w:tc>
          <w:tcPr>
            <w:tcW w:type="dxa" w:w="3115"/>
          </w:tcPr>
          <w:p>
            <w:pPr>
              <w:pStyle w:val="null5"/>
              <w:jc w:val="left"/>
            </w:pPr>
            <w:r>
              <w:rPr>
                <w:rFonts w:ascii="仿宋_GB2312" w:hAnsi="仿宋_GB2312" w:cs="仿宋_GB2312" w:eastAsia="仿宋_GB2312"/>
              </w:rPr>
              <w:t>根据供应商质量保证措施方案进行评审：质量控制保障方案完善、合理、切实可行，为“ 优秀”等级，得5分；质量控制保障方案完善、合理、可行性一般，为“一般”等级，得3 分；质量控制保障方案完善、基本合理，可行性较差，为“差”等级，得1分；未提供， 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 (5.0分)</w:t>
            </w:r>
          </w:p>
        </w:tc>
        <w:tc>
          <w:tcPr>
            <w:tcW w:type="dxa" w:w="3115"/>
          </w:tcPr>
          <w:p>
            <w:pPr>
              <w:pStyle w:val="null5"/>
              <w:jc w:val="left"/>
            </w:pPr>
            <w:r>
              <w:rPr>
                <w:rFonts w:ascii="仿宋_GB2312" w:hAnsi="仿宋_GB2312" w:cs="仿宋_GB2312" w:eastAsia="仿宋_GB2312"/>
              </w:rPr>
              <w:t>根据投标人提供的针对本项目的培训方案是否合理有效，培训计划是否切实可行进行综 合评审：培训方案明确、表述完整、计划切实可行，为“优秀”等级，得5分；培训方案 比较明确、表述略模糊、计划较切实可行的，为“一般”等级，得3分；培训方案不够明 确、表述模糊，可行性较差，为“差”等级，得1分；未提供，得0分。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项目业绩</w:t>
            </w:r>
          </w:p>
        </w:tc>
        <w:tc>
          <w:tcPr>
            <w:tcW w:type="dxa" w:w="3115"/>
          </w:tcPr>
          <w:p>
            <w:pPr>
              <w:pStyle w:val="null5"/>
              <w:jc w:val="left"/>
            </w:pPr>
            <w:r>
              <w:rPr>
                <w:rFonts w:ascii="仿宋_GB2312" w:hAnsi="仿宋_GB2312" w:cs="仿宋_GB2312" w:eastAsia="仿宋_GB2312"/>
              </w:rPr>
              <w:t>供应商提供2022年1月1日至今已完成同类 项目业绩 (提供合同和中标通知书以及网页 截图),每提供一项得2分，最高得12分。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 (8.0分)</w:t>
            </w:r>
          </w:p>
        </w:tc>
        <w:tc>
          <w:tcPr>
            <w:tcW w:type="dxa" w:w="3115"/>
          </w:tcPr>
          <w:p>
            <w:pPr>
              <w:pStyle w:val="null5"/>
              <w:jc w:val="left"/>
            </w:pPr>
            <w:r>
              <w:rPr>
                <w:rFonts w:ascii="仿宋_GB2312" w:hAnsi="仿宋_GB2312" w:cs="仿宋_GB2312" w:eastAsia="仿宋_GB2312"/>
              </w:rPr>
              <w:t>根据供应商提供的售后服务方案(包括但不限于售后服务管理制度、维修保障措施、服务 响应时间及售后服务承诺三项内容)进行评审：售后服务管理制度内容全面完善；维修保 障措施详细、可操作性强；售后服务承诺内容详实、完全满足并优于采购需求的为“优秀 ”等级，得8分；售后服务管理制度较为完善；维修保障措施较为完整，有可操作性；售 后服务承诺满足采购需求的为“良好”等级，得6分；售后服务管理制度，维修保障措施 和售后服务承诺三项内容均有，基本满足采购需求，但内容过于简单的为“一般”等级， 得4分；售后服务方案基本满足采购需求，但内容不完整的为“差”等级，得2分；未提 供，得0分。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