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巴彦敖包嘎查巴彦呼舒组产业路项目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翁牛特旗阿什罕苏木人民政府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中纳恒业项目管理有限公司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CFZCWQS-C-G-250013</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中纳恒业项目管理有限公司</w:t>
      </w:r>
      <w:r>
        <w:rPr>
          <w:rFonts w:ascii="仿宋_GB2312" w:hAnsi="仿宋_GB2312" w:cs="仿宋_GB2312" w:eastAsia="仿宋_GB2312"/>
        </w:rPr>
        <w:t xml:space="preserve"> 受 </w:t>
      </w:r>
      <w:r>
        <w:rPr>
          <w:rFonts w:ascii="仿宋_GB2312" w:hAnsi="仿宋_GB2312" w:cs="仿宋_GB2312" w:eastAsia="仿宋_GB2312"/>
        </w:rPr>
        <w:t>翁牛特旗阿什罕苏木人民政府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巴彦敖包嘎查巴彦呼舒组产业路项目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巴彦敖包嘎查巴彦呼舒组产业路项目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CFZCWQS-C-G-250013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赤政采计划[2025]翁旗00195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859,907.00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巴彦敖包嘎查巴彦呼舒组产业路项目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859,907.00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1、资格审查：1、本项目要求投标人具有独立法人资格，提供有效营业执照，同时具备公路工程施工总承包三级（含三级）以上资质和有效的安全生产许可证，并在人员、设备、资金等方面具有相应的施工能力。 2、项目经理（公路工程专业贰级及以上建造师注册证书、在有效期内的省级交通运输主管部门核发的行业类别代码为G（公路工程）的B类公路水运工程施工企业主要负责人和安全生产管理人员安全生产考核合格证书）；与投标单位签订的一年以上劳动合同及2024年6月至今至少3个月加盖社保机构公章的养老保险缴纳个人明细，或对账单，或社保网页截图加盖单位公章【注1：如因社保机构已给予减免的，请说明实际情况。 注2：电子证书：如供应商当地实行人员证件、企业资质电子化管理的，人员证件及企业资质证件扫描件中的二维码必须清晰，如现场无法识别导致不予认可的后果由投标单位自行承担。注3：企业资质证书有效期、调级及人员继续教育有关事项：按照国家和地方相关规定执行，如有必要供应商应将相关主管部门发布的文件、公告或通知等附在响应文件内。】</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中纳恒业项目管理有限公司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赤峰市红山区哈达西街六中南门</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杨宇宁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15561117038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翁牛特旗阿什罕苏木人民政府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翁牛特旗阿什罕苏木</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 xml:space="preserve"> 哈斯塔娜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18447062987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代理服务费收费标准：参照（内工建协﹝2022﹞34号）文件的规定收费收取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翁牛特旗阿什罕苏木人民政府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中纳恒业项目管理有限公司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在阿什罕苏木巴彦敖包嘎查巴彦呼舒组修建连接路3条，共计2km。连接路路基宽度4.5m，路面宽度3m。</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2025年7月31日前完成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巴彦敖包嘎查巴彦呼舒组</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1、工程竣工验收合格且结算审计完成后，付合同金额的97%（以结算审计金额为准）），达到付款条件起7日，支付合同总金额的97.00%</w:t>
            </w:r>
          </w:p>
          <w:p>
            <w:pPr>
              <w:pStyle w:val="null5"/>
              <w:jc w:val="left"/>
            </w:pPr>
            <w:r>
              <w:rPr>
                <w:rFonts w:ascii="仿宋_GB2312" w:hAnsi="仿宋_GB2312" w:cs="仿宋_GB2312" w:eastAsia="仿宋_GB2312"/>
              </w:rPr>
              <w:t>2、剩余部分，待质保期满且工程无任何质量问题，一次性无息付清，达到付款条件起7日，支付合同总金额的3.00%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1、期次1，说明：验收方式：现场验收； 工程竣工后，采购人负责组织验收小组根据国家、地方和行业标准、磋商文件要求进行竣工交付验收，签订《竣工验收报告》</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标的名称：巴彦敖包嘎查巴彦呼舒组产业路项目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招标范围：施工图纸和工程量清单所示全部内容施工</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质量标准：符合现行国家及相应行业标准合格。</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质保要求：按国家相应标准执行，质保期内出现质量问题由成交供应商免费维修、维护。若出现质量问题，应及时派人到现场进行处理，达到采购单位满意。</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施工要求：施工过程中，成交供应商必须按照相关规定要求进行施工。竣工验收前，成交供应商负责保护工程成品和工程现场人员的全部安全，同时必须采取有效的措施，保证建筑物主体结构不受到损害，如发生一切安全责任事故，由成交供应商承担全部责任。</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材料要求：成交供应商须提供材料质量合格证明和环保证明，相关材料检测费用由成交供应商自行承担 ，并保证所用材料符合国家行业标准规定和健康环保要求。成交供应商负责材料的合格性，如发生一切质量问题由成交供应 商承担。</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安全文明施工要求：施工过程中，成交供应商必须按照国家、自治区、赤峰市现行的安全文明施工规定要求进行施工，所引起的噪音污染、环境污染等问题，由成交供应商负责妥善处理，如发生一切因安全文明产生的事故、纠纷等均由成交供应商承担责任。</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项目报名之日至开标截止日，供应商未被列入失信被执行人、税收违法黑名单、政府采购严重违法失信行为记录名单。（1）查询渠道：通过“信用中国”网站(www.creditchina.gov.cn)和“中国政府采购网”（www.ccgp.gov.cn）进行查询； （投标文件中附截图并加盖公章）</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资格审查</w:t>
            </w:r>
          </w:p>
        </w:tc>
        <w:tc>
          <w:tcPr>
            <w:tcW w:type="dxa" w:w="4984"/>
          </w:tcPr>
          <w:p>
            <w:pPr>
              <w:pStyle w:val="null5"/>
              <w:jc w:val="left"/>
            </w:pPr>
            <w:r>
              <w:rPr>
                <w:rFonts w:ascii="仿宋_GB2312" w:hAnsi="仿宋_GB2312" w:cs="仿宋_GB2312" w:eastAsia="仿宋_GB2312"/>
              </w:rPr>
              <w:t>1、本项目要求投标人具有独立法人资格，提供有效营业执照，同时具备公路工程施工总承包三级（含三级）以上资质和有效的安全生产许可证，并在人员、设备、资金等方面具有相应的施工能力。 2、项目经理（公路工程专业贰级及以上建造师注册证书、在有效期内的省级交通运输主管部门核发的行业类别代码为G（公路工程）的B类公路水运工程施工企业主要负责人和安全生产管理人员安全生产考核合格证书）；与投标单位签订的一年以上劳动合同及2024年6月至今至少3个月加盖社保机构公章的养老保险缴纳个人明细，或对账单，或社保网页截图加盖单位公章【注1：如因社保机构已给予减免的，请说明实际情况。 注2：电子证书：如供应商当地实行人员证件、企业资质电子化管理的，人员证件及企业资质证件扫描件中的二维码必须清晰，如现场无法识别导致不予认可的后果由投标单位自行承担。注3：企业资质证书有效期、调级及人员继续教育有关事项：按照国家和地方相关规定执行，如有必要供应商应将相关主管部门发布的文件、公告或通知等附在响应文件内。】</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根据投标人提供的施工技术方案进行评审，①施工技术方案合理且能指导施工，内容具体且有针对性，施工部署全面的，得9.0分； ②施工技术方案较为合理且能指导施工，施工措施、施工部署较为全面的，得6.0分；③施工技术方案基本合理，对施工指导性基本可行，施工措施、施工部署基本合理的，得3.0分； ④施工技术方案、施工措施、施工部署存在明显错误或未提供的，得0分。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根据投标人提供的施工进度计划进行评审，①施工进度计划严格按采购要求安排，工序搭配逻辑关系和关键线路清晰、合理，并能指导施工且针对性合理的，得8.0分； ②施工进度计划按采购文件要求安排，工序搭配逻辑关系和关键线路较为清晰、合理，并能指导施工且针对性较为合理的，得5.0分； ③施工进度计划按采购文件要求安排，工序搭配逻辑关系和关键线路基本合理，针对性基本合理的，得2.0分；④施工进度计划不合理或未提供施工进度计划的，得0分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根据投标人提供的质量管理体系与措施进行评审，有完整的质量保证措施，先进可行。有针对本工程的通病治理措施等进行评审。 ①质量管理体系计划具体、完整、可行，保证措施合理、先进、针对性强的，得8.0分；②质量管理体系计划较为具体、完整、可行，保证措施较为合理、针对性较为合理的，得5.0分； ③质量管理体系计划一般，保证措施针对性一般的，得2.0分； ④质量管理体系及保证措施计划不合理或未提供的，得0分。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投标人提供的安全管理体系与措施，满足磋商文件要求，安全管理体系健全、安全防护方案符合国家及地方管理规定，防护措施有针对性等进行评审。①安全管理体系计划具体、完整、可行，保证措施合理、先进、针对性强的，得8.0分； ②安全管理体系计划较为具体、完整、可行，保证措施较为合理、针对性较为合理的，得5.0分； ③安全管理体系计划一般，保证措施针对性一般的，得2.0分； ④安全管理体系计划不合理或未提供的，得0分。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根据环境保护管理体系健全、污染物处理及排放符合国家及地方环境保护标准、技术及管理措施到位情况，综合评定。 ①环境保护管理体系计划内容完善、合理，完全满足本项目需求得8.0分； ②环境保护管理体系计划内容比较完善、比较合理，较满足本项目需求得5.0分； ③环境保护管理体系计划内容基本完善、基本合理，基本满足本项目需求得2.0分； ④环境保护管理体系计划内容不合理或未提供方案的，得0分。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劳动力安排和施工机械投入计划</w:t>
            </w:r>
          </w:p>
        </w:tc>
        <w:tc>
          <w:tcPr>
            <w:tcW w:type="dxa" w:w="3115"/>
          </w:tcPr>
          <w:p>
            <w:pPr>
              <w:pStyle w:val="null5"/>
              <w:jc w:val="left"/>
            </w:pPr>
            <w:r>
              <w:rPr>
                <w:rFonts w:ascii="仿宋_GB2312" w:hAnsi="仿宋_GB2312" w:cs="仿宋_GB2312" w:eastAsia="仿宋_GB2312"/>
              </w:rPr>
              <w:t>根据投标人提供的劳动力安排和施工机械投入计划进行评审，1.劳动力安排和施工机械投入计划非常合理、可行，与施工进度计划呼应，满足本项目要求，劳动力、施工机械搭配非常合理、准确的，得8.0分；2.劳动力安排和施工机械投入计划基本合理、可行，与施工进度计划呼应， 满足本项目要求，劳动力、施工机械搭配比较合理、准确的得5.0分； 3.劳动力安排和施工机械投入计划一般合理、可行，劳动力、施工机械搭配一般的，得2.0分； 4.劳动力安排和施工机械投入计划与施工进度计划不能呼应或未提供的，得0分；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对突发事件的应急预案</w:t>
            </w:r>
          </w:p>
        </w:tc>
        <w:tc>
          <w:tcPr>
            <w:tcW w:type="dxa" w:w="3115"/>
          </w:tcPr>
          <w:p>
            <w:pPr>
              <w:pStyle w:val="null5"/>
              <w:jc w:val="left"/>
            </w:pPr>
            <w:r>
              <w:rPr>
                <w:rFonts w:ascii="仿宋_GB2312" w:hAnsi="仿宋_GB2312" w:cs="仿宋_GB2312" w:eastAsia="仿宋_GB2312"/>
              </w:rPr>
              <w:t>根据对突发事件 (包括发生大风、暴雨等灾害性天气及火灾等其他突发事件)时的应急预案及相应的措施进行综合比较。1.措施内容完善、合理，可实施性 较强，得8.0分； 2.措施内容基本完善、合理，基本可行，得5.0分；3.措施内容一般、一般合理，一般可行，得2.0分； ④措施内容不合理或未提供方案的，得0分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质保期服务方案</w:t>
            </w:r>
          </w:p>
        </w:tc>
        <w:tc>
          <w:tcPr>
            <w:tcW w:type="dxa" w:w="3115"/>
          </w:tcPr>
          <w:p>
            <w:pPr>
              <w:pStyle w:val="null5"/>
              <w:jc w:val="left"/>
            </w:pPr>
            <w:r>
              <w:rPr>
                <w:rFonts w:ascii="仿宋_GB2312" w:hAnsi="仿宋_GB2312" w:cs="仿宋_GB2312" w:eastAsia="仿宋_GB2312"/>
              </w:rPr>
              <w:t>根据供应商的质保期服务方案进行评审，1.提供完整、全面的服务方案和科学、完整的保障方案，服务内容具体齐全：8.0分；2.服务和保障方案比较完整，服务内容比较齐全：5.0分；3.服务和保障方案基本完整，服务内容基本齐全：3.0分；4.内容明显缺漏、或不合理、或不可行、或未提供：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真实性承诺书</w:t>
            </w:r>
          </w:p>
        </w:tc>
        <w:tc>
          <w:tcPr>
            <w:tcW w:type="dxa" w:w="3115"/>
          </w:tcPr>
          <w:p>
            <w:pPr>
              <w:pStyle w:val="null5"/>
              <w:jc w:val="left"/>
            </w:pPr>
            <w:r>
              <w:rPr>
                <w:rFonts w:ascii="仿宋_GB2312" w:hAnsi="仿宋_GB2312" w:cs="仿宋_GB2312" w:eastAsia="仿宋_GB2312"/>
              </w:rPr>
              <w:t>审查供应商提供的本次投标人资格的文件、证明、业绩、人员资料等陈述均真实的、准确的的承诺书（格式自拟），不提供不得分。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工程业绩</w:t>
            </w:r>
          </w:p>
        </w:tc>
        <w:tc>
          <w:tcPr>
            <w:tcW w:type="dxa" w:w="3115"/>
          </w:tcPr>
          <w:p>
            <w:pPr>
              <w:pStyle w:val="null5"/>
              <w:jc w:val="left"/>
            </w:pPr>
            <w:r>
              <w:rPr>
                <w:rFonts w:ascii="仿宋_GB2312" w:hAnsi="仿宋_GB2312" w:cs="仿宋_GB2312" w:eastAsia="仿宋_GB2312"/>
              </w:rPr>
              <w:t>根据供应商提供2022年01月至今承揽过的类似项目业绩。每项业绩5.0分，投标人业绩最多得15.0分（需提供中标（成交）通知书或施工合同扫描件并加盖公章）。</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拟投入人员</w:t>
            </w:r>
          </w:p>
        </w:tc>
        <w:tc>
          <w:tcPr>
            <w:tcW w:type="dxa" w:w="3115"/>
          </w:tcPr>
          <w:p>
            <w:pPr>
              <w:pStyle w:val="null5"/>
              <w:jc w:val="left"/>
            </w:pPr>
            <w:r>
              <w:rPr>
                <w:rFonts w:ascii="仿宋_GB2312" w:hAnsi="仿宋_GB2312" w:cs="仿宋_GB2312" w:eastAsia="仿宋_GB2312"/>
              </w:rPr>
              <w:t>1、项目总工1人(公路工程相关专业工程师及以上职称证书）；2、安全负责人1人（省级交通运输主管部门核发的行业类别代码为G（公路工程）的C类公路水运工程施工企业主要负责人和安全生产管理人员安全生产考核合格证书，在有效期内）。现场管理机构人员与投标单位签订的一年以上劳动合同及2024年06月至今至少3个月加盖社保机构公章的养老保险缴纳个人明细，或对账单，或社保网页截图加盖单位公章，上述资料齐全得8.0分，每人缺少一项资料，扣4.0分【注1：如因社保机构已给予减免的，请说明实际情况。 注2：电子证书：如供应商当地实行人员证件、企业资质电子化管理的，其人员证件及企业资质证件扫描件中的二维码必须清晰，如现场无法识别导致不予认可的后果由投标单位自行承担。注3：人员继续教育有关事项：按照国家和地方相关规定执行，如有必要供应商应将相关主管部门发布的文件、公告或通知等附在响应文件内。】</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