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翁牛特旗华清嘉园与皇家帝苑小区规划路（华清小巷）改造工程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翁牛特旗住房和城乡建设局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中纳恒业项目管理有限公司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CFZCWQS-C-G-250014</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中纳恒业项目管理有限公司</w:t>
      </w:r>
      <w:r>
        <w:rPr>
          <w:rFonts w:ascii="仿宋_GB2312" w:hAnsi="仿宋_GB2312" w:cs="仿宋_GB2312" w:eastAsia="仿宋_GB2312"/>
        </w:rPr>
        <w:t xml:space="preserve"> 受 </w:t>
      </w:r>
      <w:r>
        <w:rPr>
          <w:rFonts w:ascii="仿宋_GB2312" w:hAnsi="仿宋_GB2312" w:cs="仿宋_GB2312" w:eastAsia="仿宋_GB2312"/>
        </w:rPr>
        <w:t>翁牛特旗住房和城乡建设局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翁牛特旗华清嘉园与皇家帝苑小区规划路（华清小巷）改造工程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翁牛特旗华清嘉园与皇家帝苑小区规划路（华清小巷）改造工程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CFZCWQS-C-G-250014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赤政采计划[2025]翁旗00200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2,227,661.00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翁牛特旗华清嘉园与皇家帝苑小区规划路（华清小巷）改造工程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2,227,661.00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审查：（1）投标人须具有建设行政主管部门颁发的市政公用工程施工总承包叁级及以上资质；（2）拟派本工程项目负责人须具有在供应商单位注册市政公用工程专业二级及以上注册建造师资格和有效的B类安全生产考核合格证书。项目经理未在其他在施建设工程项目中任职（需提供《潜在投标人或投标人拟派项目负责人未在其他在施建设工程项目中任职承诺书》），与投标人签订的一年以上劳动合同，为其缴纳的2024年06月至投标截止日前连续3个月的养老保险信息（加盖社保机构公章的养老保险缴纳个人明细，或对账单，或社保网页截图加盖单位公章，或有效退休证明）。【注1：如因社保机构已给予减免的，请说明实际情况。 注2：电子证书：如供应商当地实行人员证件、企业资质电子化管理的，其人员证件及企业资质证件扫描件中的二维码必须清晰，如现场无法识别导致不予认可的后果由投标单位自行承担。注3：企业资质证书有效期、调级及人员继续教育有关事项：按照国家和地方相关规定执行，如有必要供应商应将相关主管部门发布的文件、公告或通知等附在响应文件内。】</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中纳恒业项目管理有限公司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赤峰市红山区哈达西街六中南门</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杨宇宁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15947675743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翁牛特旗住房和城乡建设局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乌丹镇地质大厦</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郭丰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15848962172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代理服务费收费标准：按照中介超市选定程序最终确定的金额支付，19300.00元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翁牛特旗住房和城乡建设局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中纳恒业项目管理有限公司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华清嘉园与皇家帝苑小区间规划路（华清小巷）改造工程设计起点为红山路，设计终点至玉龙路，主要改造铺装车行道、人行道及安装路灯等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合同签订后三个月内完成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华清嘉园与皇家帝苑小区</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1、工程竣工验收合格后且财政资金到位后，付合同金额的80%，达到付款条件起7日，支付合同总金额的80.00%</w:t>
            </w:r>
          </w:p>
          <w:p>
            <w:pPr>
              <w:pStyle w:val="null5"/>
              <w:jc w:val="left"/>
            </w:pPr>
            <w:r>
              <w:rPr>
                <w:rFonts w:ascii="仿宋_GB2312" w:hAnsi="仿宋_GB2312" w:cs="仿宋_GB2312" w:eastAsia="仿宋_GB2312"/>
              </w:rPr>
              <w:t>2、工程结算审计完成后且财政资金到位后，付至合同金额的97%（以最终审计金额为准），达到付款条件起7日，支付合同总金额的17.00%</w:t>
            </w:r>
          </w:p>
          <w:p>
            <w:pPr>
              <w:pStyle w:val="null5"/>
              <w:jc w:val="left"/>
            </w:pPr>
            <w:r>
              <w:rPr>
                <w:rFonts w:ascii="仿宋_GB2312" w:hAnsi="仿宋_GB2312" w:cs="仿宋_GB2312" w:eastAsia="仿宋_GB2312"/>
              </w:rPr>
              <w:t>3、剩余部分，待工程质保期满且工程无任何质量问题，一次性无息付清。，达到付款条件起7日，支付合同总金额的3.00%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缴纳说明：说收取比例：5% 履约担保的形式：以银行、保险公司或担保公司出具保函方式递交；须出具无条件的、不可撤销的、见索即付的保函。 履约担保退还：承包人于本合同全部服务合格后28日内办理相关手续。</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是否邀请投标人验收</w:t>
            </w:r>
          </w:p>
        </w:tc>
        <w:tc>
          <w:tcPr>
            <w:tcW w:type="dxa" w:w="2076"/>
          </w:tcPr>
          <w:p>
            <w:pPr>
              <w:pStyle w:val="null5"/>
              <w:jc w:val="left"/>
            </w:pPr>
            <w:r>
              <w:rPr>
                <w:rFonts w:ascii="仿宋_GB2312" w:hAnsi="仿宋_GB2312" w:cs="仿宋_GB2312" w:eastAsia="仿宋_GB2312"/>
              </w:rPr>
              <w:t>邀请投标人验收</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1、期次1，说明：验收方式：现场验收 工程竣工后，采购人负责组织验收小组根据国家、地方和行业标准、磋商文件要求进行竣工交付验收，签订《竣工验收报告》</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标的名称：翁牛特旗华清嘉园与皇家帝苑小区规划路（华清小巷）改造工程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招标范围：施工图纸和工程量清单所示全部内容施工。</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质量标准：符合现行国家及相应行业标准合格。</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质保要求：按国家相应标准执行，质保期内出现质量问题由成交供应商免费维修、维护。若出现质量问题，应及时派人到现场进行处理，达到采购单位满意。</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施工要求：施工过程中，成交供应商必须按照相关规定要求进行施工。竣工验收前，成交供应商负责保护工程成品和工程现场人员的全部安全，同时必须采取有效的措施，保证建筑物主体结构不受到损害，如发生一切安全责任事故，由成交供应商承担全部责任。</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材料要求：成交供应商须提供材料质量合格证明和环保证明，相关材料检测费用由成交供应商自行承担，并保证所用材料符合国家行业标准规定和健康环保要求。施工过程中，成交供应商所用材料须符合相关要求，如发生一切质量问题由成交供应商承担。</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安全文明施工要求：施工过程中，成交供应商必须按照国家、自治区、赤峰市现行的安全文明施工规定要求进行施工，所引起的噪音污染、环境污染等问题，由成交供应商负责妥善处理，如发生一切因安全文明产生的事故、纠纷等均由成交供应商承担责任。</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投标文件的截止时间内：（1）经“信用中国”网站查询的供应商未被列入“失信被执行人”的网页截图、“重大税收违法失信主体”的网页截图、“政府采购严重违法失信行为记录名单”的网页截图； （2）经“中国政府采购网”网站查询的供应商未被列入“政府采购严重违法失信行为记录名单”的网页截图。注①截图须明确显示截取时间；②磋商文件中的“税收违法黑名单”等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资格审查</w:t>
            </w:r>
          </w:p>
        </w:tc>
        <w:tc>
          <w:tcPr>
            <w:tcW w:type="dxa" w:w="4984"/>
          </w:tcPr>
          <w:p>
            <w:pPr>
              <w:pStyle w:val="null5"/>
              <w:jc w:val="left"/>
            </w:pPr>
            <w:r>
              <w:rPr>
                <w:rFonts w:ascii="仿宋_GB2312" w:hAnsi="仿宋_GB2312" w:cs="仿宋_GB2312" w:eastAsia="仿宋_GB2312"/>
              </w:rPr>
              <w:t>（1）投标人须具有建设行政主管部门颁发的市政公用工程施工总承包叁级及以上资质；（2）拟派本工程项目负责人须具有在供应商单位注册市政公用工程专业二级及以上注册建造师资格和有效的B类安全生产考核合格证书。项目经理未在其他在施建设工程项目中任职（需提供《潜在投标人或投标人拟派项目负责人未在其他在施建设工程项目中任职承诺书》），与投标人签订的一年以上劳动合同，为其缴纳的2024年06月至投标截止日前连续3个月的养老保险信息（加盖社保机构公章的养老保险缴纳个人明细，或对账单，或社保网页截图加盖单位公章，或有效退休证明）。【注1：如因社保机构已给予减免的，请说明实际情况。 注2：电子证书：如供应商当地实行人员证件、企业资质电子化管理的，其人员证件及企业资质证件扫描件中的二维码必须清晰，如现场无法识别导致不予认可的后果由投标单位自行承担。注3：企业资质证书有效期、调级及人员继续教育有关事项：按照国家和地方相关规定执行，如有必要供应商应将相关主管部门发布的文件、公告或通知等附在响应文件内。】</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根据投标人提供的施工技术方案进行评审，①施工技术方案合理且能指导施工，内容具体且有针对性，施工部署全面的，得9.0分； ②施工技术方案较为合理且能指导施工，施工措施、施工部署较为全面的，得6.0分；③施工技术方案基本合理，对施工指导性基本可行，施工措施、施工部署基本合理的，得3.0分； ④施工技术方案、施工措施、施工部署存在明显错误或未提供的，得0分。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根据投标人提供的施工进度计划进行评审，①施工进度计划严格按采购要求安排，工序搭配逻辑关系和关键线路清晰、合理，并能指导施工且针对性合理的，得8.0分； ②施工进度计划按采购文件要求安排，工序搭配逻辑关系和关键线路较为清晰、合理，并能指导施工且针对性较为合理的，得5.0分； ③施工进度计划按采购文件要求安排，工序搭配逻辑关系和关键线路基本合理，针对性基本合理的，得2.0分；④施工进度计划不合理或未提供施工进度计划的，得0分。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根据投标人提供的质量管理体系与措施进行评审，有完整的质量保证措施，先进可行。有针对本工程的通病治理措施等进行评审。 ①质量管理体系计划具体、完整、可行，保证措施合理、先进、针对性强的，得8.0分；②质量管理体系计划较为具体、完整、可行，保证措施较为合理、针对性较为合理的，得5.0分； ③质量管理体系计划一般，保证措施针对性一般的，得2.0分； ④质量管理体系及保证措施计划不合理或未提供的，得0分。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投标人提供的安全管理体系与措施，满足磋商文件要求，安全管理体系健全、安全防护方案符合国家及地方管理规定，防护措施有针对性等进行评审。①安全管理体系计划具体、完整、可行，保证措施合理、先进、针对性强的，得8.0分； ②安全管理体系计划较为具体、完整、可行，保证措施较为合理、针对性较为合理的，得5.0分； ③安全管理体系计划一般，保证措施针对性一般的，得2.0分； ④安全管理体系计划不合理或未提供的，得0分。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根据环境保护管理体系健全、污染物处理及排放符合国家及地方环境保护标准、技术及管理措施到位情况，综合评定。 ①环境保护管理体系计划内容完善、合理，完全满足本项目需求得8.0分； ②环境保护管理体系计划内容比较完善、比较合理，较满足本项目需求得5.0分； ③环境保护管理体系计划内容基本完善、基本合理，基本满足本项目需求得2.0分； ④环境保护管理体系计划内容不合理或未提供方案的，得0分。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劳动力安排和施工机械投入计划</w:t>
            </w:r>
          </w:p>
        </w:tc>
        <w:tc>
          <w:tcPr>
            <w:tcW w:type="dxa" w:w="3115"/>
          </w:tcPr>
          <w:p>
            <w:pPr>
              <w:pStyle w:val="null5"/>
              <w:jc w:val="left"/>
            </w:pPr>
            <w:r>
              <w:rPr>
                <w:rFonts w:ascii="仿宋_GB2312" w:hAnsi="仿宋_GB2312" w:cs="仿宋_GB2312" w:eastAsia="仿宋_GB2312"/>
              </w:rPr>
              <w:t>根据投标人提供的劳动力安排和施工机械投入计划进行评审，1.劳动力安排和施工机械投入计划非常合理、可行，与施工进度计划呼应，满足本项目要求，劳动力、施工机械搭配非常合理、准确的，得8.0分；2.劳动力安排和施工机械投入计划基本合理、可行，与施工进度计划呼应， 满足本项目要求，劳动力、施工机械搭配比较合理、准确的得5.0分； 3.劳动力安排和施工机械投入计划一般合理、可行，劳动力、施工机械搭配一般的，得2.0分； 4.劳动力安排和施工机械投入计划与施工进度计划不能呼应或未提供的，得0分；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成品保护、应急预案方案</w:t>
            </w:r>
          </w:p>
        </w:tc>
        <w:tc>
          <w:tcPr>
            <w:tcW w:type="dxa" w:w="3115"/>
          </w:tcPr>
          <w:p>
            <w:pPr>
              <w:pStyle w:val="null5"/>
              <w:jc w:val="left"/>
            </w:pPr>
            <w:r>
              <w:rPr>
                <w:rFonts w:ascii="仿宋_GB2312" w:hAnsi="仿宋_GB2312" w:cs="仿宋_GB2312" w:eastAsia="仿宋_GB2312"/>
              </w:rPr>
              <w:t>根据供应商的成品保护、应急预案方案进行评审，评审标准：内容完整、明确、合理、可行且满足招标文件要求的得8.0分；内容无明显缺漏、比较明确、合理、可行的得5.0分；内容无明显缺漏，但不够明确、不够合理、可行但需调整的得2.0分；内容明显缺漏、或不合理、或不可行、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质保期服务方案</w:t>
            </w:r>
          </w:p>
        </w:tc>
        <w:tc>
          <w:tcPr>
            <w:tcW w:type="dxa" w:w="3115"/>
          </w:tcPr>
          <w:p>
            <w:pPr>
              <w:pStyle w:val="null5"/>
              <w:jc w:val="left"/>
            </w:pPr>
            <w:r>
              <w:rPr>
                <w:rFonts w:ascii="仿宋_GB2312" w:hAnsi="仿宋_GB2312" w:cs="仿宋_GB2312" w:eastAsia="仿宋_GB2312"/>
              </w:rPr>
              <w:t>根据供应商的质保期服务方案进行评审，1.提供完整、全面的服务方案和科学、完整的保障方案，服务内容具体齐全：8.0分；2.服务和保障方案比较完整，服务内容比较齐全：5.0分；3.服务和保障方案基本完整，服务内容基本齐全：2.0分；4.内容明显缺漏、或不合理、或不可行、或未提供：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拟投入项目管理机构人员</w:t>
            </w:r>
          </w:p>
        </w:tc>
        <w:tc>
          <w:tcPr>
            <w:tcW w:type="dxa" w:w="3115"/>
          </w:tcPr>
          <w:p>
            <w:pPr>
              <w:pStyle w:val="null5"/>
              <w:jc w:val="left"/>
            </w:pPr>
            <w:r>
              <w:rPr>
                <w:rFonts w:ascii="仿宋_GB2312" w:hAnsi="仿宋_GB2312" w:cs="仿宋_GB2312" w:eastAsia="仿宋_GB2312"/>
              </w:rPr>
              <w:t>（1）技术负责人1人：提供市政公用工程相关专业中级及以上职称证；（2）施工员1人：提供施工员岗位证或职业培训合格证；（3）质检员1人：提 供质检员(质量员)岗位证或职业培训合格证 ；（4）安全员 ：1名综合类专职安全员(C3)或者同时配备1名机械类专职安全员(C1)和1名土建类专职安全员(C2)：综合类安全员提供C3类安全生产考核合格证，机械类安全员提供C1类安全生产考核合格证，土建类专职安全员提供C2类安全生产考核合格证；（岗位证书或职业培训合格证若体现专业类别则必须为市政公用工程相关专业）。以上现场管理机构所有人员均需提供有效身份证、项目管理机构人员与投标单位签订的有效的劳动合同及投标单位为以上人员缴纳的2024年06月至今连续3个月的社保缴纳信息。上述人员每人证件提供齐全得3.0分，本项最高得12.0分。 注1：社保缴纳信息按以下任意一种方式提交均认可：①如投标人所在地区已实行社保信息网上查询，提供可在人社部门网站上查询的缴纳养老保险相关信息(将参保信息查询、社保缴费查询打印并加盖投标企业单位公章)，并同时提供现场管理人员查询社保信息的用户名及密码或验证码或二维码；②如投标人所在地区未实行社保信息网上查询，可提供2024年06月至今连续3个月加盖社保机构公章的养老保险缴纳个人明细或对账单。 注2：如投标人所在地建设行政主管部门发放电子证书的，可提供可通过二维码查询的电子证书，电子证书与纸质证书具有同等效力，其人员证件及企业资质证件扫描件中的二维码必须清晰，如现场无法识别导致不予认可的后果由投标单位自行承担。注3：在有效期间内的原专职安全生产管理人员C类安全生产考核合格证书一律视同为土建类专职安全生产管理人员(C2类)安全生产考核合格证书。综合类安全员提供C3类安全 生产考核合格证，机械类安全员提供C1类安全生产考核合格证，土建类专职安全员提供C2类安全生产考核合格证，C3类安全生产考核合格证可以代替C1或C2类安全生产考核合格证使用。</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工程业绩</w:t>
            </w:r>
          </w:p>
        </w:tc>
        <w:tc>
          <w:tcPr>
            <w:tcW w:type="dxa" w:w="3115"/>
          </w:tcPr>
          <w:p>
            <w:pPr>
              <w:pStyle w:val="null5"/>
              <w:jc w:val="left"/>
            </w:pPr>
            <w:r>
              <w:rPr>
                <w:rFonts w:ascii="仿宋_GB2312" w:hAnsi="仿宋_GB2312" w:cs="仿宋_GB2312" w:eastAsia="仿宋_GB2312"/>
              </w:rPr>
              <w:t>根据供应商提供2022年01月至今承揽过的市政工程施工业绩（须提供业绩的中标（成交）通知书和合同）。每项业绩4.0分，投标人业绩最多 得12.0分（以合同签订日期为准）。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不拖欠农牧民工工资承诺函</w:t>
            </w:r>
          </w:p>
        </w:tc>
        <w:tc>
          <w:tcPr>
            <w:tcW w:type="dxa" w:w="3115"/>
          </w:tcPr>
          <w:p>
            <w:pPr>
              <w:pStyle w:val="null5"/>
              <w:jc w:val="left"/>
            </w:pPr>
            <w:r>
              <w:rPr>
                <w:rFonts w:ascii="仿宋_GB2312" w:hAnsi="仿宋_GB2312" w:cs="仿宋_GB2312" w:eastAsia="仿宋_GB2312"/>
              </w:rPr>
              <w:t>审查供应商提供不拖欠农民工工资承诺书(格式自拟)进行评审，确保及时、足额的向所雇佣的人员支付劳动报酬，并制定严格的工人工资支付保障措施，不提供不得分。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