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喀喇沁旗基层卫生院“煤改空气能”项目-电气</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喀喇沁旗卫生健康委员会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内蒙古蒙东工程管理有限公司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CFZCKQS-C-G-250007</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内蒙古蒙东工程管理有限公司</w:t>
      </w:r>
      <w:r>
        <w:rPr>
          <w:rFonts w:ascii="仿宋_GB2312" w:hAnsi="仿宋_GB2312" w:cs="仿宋_GB2312" w:eastAsia="仿宋_GB2312"/>
        </w:rPr>
        <w:t xml:space="preserve"> 受 </w:t>
      </w:r>
      <w:r>
        <w:rPr>
          <w:rFonts w:ascii="仿宋_GB2312" w:hAnsi="仿宋_GB2312" w:cs="仿宋_GB2312" w:eastAsia="仿宋_GB2312"/>
        </w:rPr>
        <w:t>喀喇沁旗卫生健康委员会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喀喇沁旗基层卫生院“煤改空气能”项目-电气</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喀喇沁旗基层卫生院“煤改空气能”项目-电气</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CFZCKQS-C-G-250007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赤政采计划[2025]喀旗00196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748,069.55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喀喇沁旗基层卫生院“煤改空气能”项目-电气</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748,069.55</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具备由建设行政主管部门颁发的电力工程施工总承包三级及以上资质或输变电工程专业承包三级及以上资质，同时具有五级及以上承装（修、试）电力设施许可证及有效安全生产许可证。拟派项目负责人须具有机电工程二级及以上注册建造师执业资格，同时具备有效的B类安全生产考核合格证，且未同时在其他在建项目中任职（提供承诺书，格式自拟）。项目负责人与供应商签订有效的劳动合同以及近六个月（2024年07月至今连续6个月）供应商向其缴纳的加盖社保机构公章的养老保险缴纳个人明细或对账单或加盖单位公章的12333网页可查询截图或企业所在地养老保险缴纳可查询网址及查询网页截图, 提供查询账号密码或验证码，退休人员提供有效退休证明。</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详见采购文件</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内蒙古蒙东工程管理有限公司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内蒙古自治区赤峰市松山区御园财富广场C座803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田庆贺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0476-5959598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喀喇沁旗卫生健康委员会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锦山西城区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王伟华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13948682000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代理服务费收费标准：按《内蒙古自治区建设工程招标代理服务收费指导意见》（内工建协[2022]34号）文件工程类收费标准的98%收取。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p>
            <w:pPr>
              <w:pStyle w:val="null5"/>
              <w:jc w:val="left"/>
            </w:pPr>
            <w:r>
              <w:rPr>
                <w:rFonts w:ascii="仿宋_GB2312" w:hAnsi="仿宋_GB2312" w:cs="仿宋_GB2312" w:eastAsia="仿宋_GB2312"/>
              </w:rPr>
              <w:t>违约风险提示：成交供应商除因不可抗力（不能预见、不能避免且不能克服的客观情况）不能履行合同义务外，不得拒绝签订或者拒绝履行合同。拒绝签订或者拒绝履行合同的成交供应商不得参加对该项目重新开展的采购活动，且应该承担法律责任。</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喀喇沁旗卫生健康委员会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内蒙古蒙东工程管理有限公司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喀喇沁旗基层卫生院“煤改空气能”项目-电气，详见工程量清单。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自合同签订之日起90日历天内竣工，并经采购人验收合格。</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项目所在地履约</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1、工程竣工验收合格并通电后，采购人根据资金拨付进度支付结算审定金额的97%，达到付款条件起30日，支付合同总金额的97.00%</w:t>
            </w:r>
          </w:p>
          <w:p>
            <w:pPr>
              <w:pStyle w:val="null5"/>
              <w:jc w:val="left"/>
            </w:pPr>
            <w:r>
              <w:rPr>
                <w:rFonts w:ascii="仿宋_GB2312" w:hAnsi="仿宋_GB2312" w:cs="仿宋_GB2312" w:eastAsia="仿宋_GB2312"/>
              </w:rPr>
              <w:t>2、质保期满无质量问题无息支付结算审定金额的3%，达到付款条件起30日，支付合同总金额的3.00%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1、期次1，说明：工程竣工后，由采购人组织验收，质量应符合国家行业相关合格验收标准的规定，并满足采购人使用需求。供应商须保证在工程竣工验收合格之日起7日内完成入网并通电，满足采购人用电要求。</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安全文明施工要求：施工过程中，所引起的安全事故、噪音污染、环境污染等问题，由成交供应商负责妥善处理并承担全部责任。</w:t>
              <w:br/>
              <w:t>设备及材料要求：成交供应商应保证所使用的设备及材料是全新、未使用过的合格产品，符合国家行业标准规定和健康环保要求。成交供应商负责设备及材料的质量、安全和健康环保，发生一切问题均由成交供应商承担全部责任。</w:t>
              <w:br/>
              <w:t>施工要求：成交供应商须提供施工所用机械设备清单，并保证所用机械器具符合国家行业相关标准规定要求。供应商应按照国家行业及地方规范标准、设计图纸（如有）、工程量清单及采购人要求进行施工。工程全部移交前，成交供应商应采取有效的措施保护工程成品和人员安全，发生任何质量、安全、环保和其他事故均由成交供应商承担全部责任。</w:t>
              <w:br/>
              <w:t>质量标准：符合国家行业相关合格验收标准的规定。</w:t>
              <w:br/>
              <w:t>工程质量保修期：工程质量保修期两年，质量保修期内如有质量问题由成交供应商无偿维修，直至采购人验收合格。</w:t>
              <w:br/>
              <w:t>验收交付标准和方法：工程竣工后，由采购人组织验收，质量应符合国家行业相关合格验收标准的规定，并满足采购人使用需求。供应商须保证在工程竣工验收合格之日起7日内完成入网并通电，满足采购人用电要求。</w:t>
              <w:br/>
              <w:t>其他要求：未尽事宜签订合同时另行约定。</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标的名称：喀喇沁旗基层卫生院“煤改空气能”项目-电气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1、供应商必须符合本项目磋商文件及附件的全部采购要求，严格按采购文件及采购单位要求签订并履行采购合同。</w:t>
            </w:r>
          </w:p>
          <w:p>
            <w:pPr>
              <w:pStyle w:val="null5"/>
              <w:jc w:val="left"/>
            </w:pPr>
            <w:r>
              <w:rPr>
                <w:rFonts w:ascii="仿宋_GB2312" w:hAnsi="仿宋_GB2312" w:cs="仿宋_GB2312" w:eastAsia="仿宋_GB2312"/>
              </w:rPr>
              <w:t>2、具体技术要求以工程量清单为准。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审查供应商提供的依法缴纳税收和社会保障资金的相关材料（提供2024年1月至今任意一个月有效的缴纳税收或社保凭证或提供承诺书，格式自拟）。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审查供应商提供的具有履行合同所必需的设备和专业技术能力的证明材料（提供承诺书，格式自拟）。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资格审查时，供应商未被列入失信被执行人、税收违法黑名单、政府采购严重违法失信行为记录名单。注：磋商文件中的“税收违法黑名单”等同于“重大税收违法失信主体”。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具备由建设行政主管部门颁发的电力工程施工总承包三级及以上资质或输变电工程专业承包三级及以上资质，同时具有五级及以上承装（修、试）电力设施许可证及有效安全生产许可证。拟派项目负责人须具有机电工程二级及以上注册建造师执业资格，同时具备有效的B类安全生产考核合格证，且未同时在其他在建项目中任职（提供承诺书，格式自拟）。项目负责人与供应商签订有效的劳动合同以及近六个月（2024年07月至今连续6个月）供应商向其缴纳的加盖社保机构公章的养老保险缴纳个人明细或对账单或加盖单位公章的12333网页可查询截图或企业所在地养老保险缴纳可查询网址及查询网页截图, 提供查询账号密码或验证码，退休人员提供有效退休证明。</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施工组织设计内容</w:t>
            </w:r>
          </w:p>
        </w:tc>
        <w:tc>
          <w:tcPr>
            <w:tcW w:type="dxa" w:w="3115"/>
          </w:tcPr>
          <w:p>
            <w:pPr>
              <w:pStyle w:val="null5"/>
              <w:jc w:val="left"/>
            </w:pPr>
            <w:r>
              <w:rPr>
                <w:rFonts w:ascii="仿宋_GB2312" w:hAnsi="仿宋_GB2312" w:cs="仿宋_GB2312" w:eastAsia="仿宋_GB2312"/>
              </w:rPr>
              <w:t>①施工组织设计内容完整详实、叙述清楚、无明显错漏，内容非常具体且具有针对性，能够充分指导施工，施工措施、施工部署非常全面的得10分；②施工组织设计内容较为完整、方案合理，能指导施工，施工措施、施工部署较为全面的得7分；③施工组织设计内容基本完整，对施工指导性基本可行，施工措施、施工部署基本合理的得4分；④施工组织设计内容一般，对施工缺乏指导性，施工措施、施工部署合理性一般，可行性一般的得1分；⑤施工组织设计内容严重缺失、施工措施、施工部署存在明显错误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对项目特点和难点分析</w:t>
            </w:r>
          </w:p>
        </w:tc>
        <w:tc>
          <w:tcPr>
            <w:tcW w:type="dxa" w:w="3115"/>
          </w:tcPr>
          <w:p>
            <w:pPr>
              <w:pStyle w:val="null5"/>
              <w:jc w:val="left"/>
            </w:pPr>
            <w:r>
              <w:rPr>
                <w:rFonts w:ascii="仿宋_GB2312" w:hAnsi="仿宋_GB2312" w:cs="仿宋_GB2312" w:eastAsia="仿宋_GB2312"/>
              </w:rPr>
              <w:t>①对项目特点和难点分析全面准确、分析透彻，采取有效的对策措施，论述科学、合理可行的得10分；②对项目特点和难点分析较为全面、较为准确，有相应的对策措施，论述较为科学合理、较为可行的得7分；③对项目特点和难点分析基本全面、分析基本准确，对策措施基本完整，论述基本合理、基本可行的得4分；④对项目特点和难点分析完整性一般、分析准确性一般，采取对策措施合理性一般，可行性一般的得1分；⑤对项目特点和难点分析不合理不可行，采取对策措施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主要施工工序</w:t>
            </w:r>
          </w:p>
        </w:tc>
        <w:tc>
          <w:tcPr>
            <w:tcW w:type="dxa" w:w="3115"/>
          </w:tcPr>
          <w:p>
            <w:pPr>
              <w:pStyle w:val="null5"/>
              <w:jc w:val="left"/>
            </w:pPr>
            <w:r>
              <w:rPr>
                <w:rFonts w:ascii="仿宋_GB2312" w:hAnsi="仿宋_GB2312" w:cs="仿宋_GB2312" w:eastAsia="仿宋_GB2312"/>
              </w:rPr>
              <w:t>①主要施工工序阐述明晰、施工内容全面、工序合理，主要施工方法得当，对本项目关键技术、工艺有明确深入的完整表述，合理可行的得10分；②主要施工工序阐述较为明晰、施工内容较为全面、工序较为合理，主要施工方法较为得当，且对本项目关键技术、工艺有较为明确的表述，较为可行的得7分；③主要施工工序阐述基本明晰、施工内容基本全面、工序基本合理，对本项目关键技术、工艺基本了解，基本可行的得4分；④主要施工工序阐述一般明晰、施工内容和工序合理性一般，对本项目关键技术、工艺了解不全面，可行性一般的得1分；⑤施工工序不合理、施工内容不全，技术工艺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安全文明施工方案</w:t>
            </w:r>
          </w:p>
        </w:tc>
        <w:tc>
          <w:tcPr>
            <w:tcW w:type="dxa" w:w="3115"/>
          </w:tcPr>
          <w:p>
            <w:pPr>
              <w:pStyle w:val="null5"/>
              <w:jc w:val="left"/>
            </w:pPr>
            <w:r>
              <w:rPr>
                <w:rFonts w:ascii="仿宋_GB2312" w:hAnsi="仿宋_GB2312" w:cs="仿宋_GB2312" w:eastAsia="仿宋_GB2312"/>
              </w:rPr>
              <w:t>①安全文明施工方案具体、完整、可行，保证措施合理、先进、针对性强的得10分；②安全文明施工方案较为具体、较为完整、较为可行，保证措施较为合理、针对性较强的得7分；③安全文明施工方案基本完整、基本可行，保证措施基本合理得4分；④安全文明施工方案完整程度一般，保证措施合理性一般得1分；⑤安全文明施工方案不全、保证措施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①质量保证措施全面完整，严格按照施工技术规范、标准编制且针对性强的得10分；②质量保证措施较为全面较为完整，按照施工技术规范、标准编制且针对性较强的得7分；③质量保证措施基本全面，基本按照施工技术规范、标准编制且针对性基本合理的得4分；④质量保证措施完整性一般，按照施工技术规范、标准编制但针对性一般的得1分；⑤质量保证措施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①施工进度计划严格按采购文件要求安排，工序搭配逻辑关系和关键线路清晰合理，并能指导施工且针对性强的得10分；②施工进度计划按采购文件要求安排，工序搭配逻辑关系和关键线路较为清晰合理，并能指导施工且针对性较强的得7分；③施工进度计划按采购文件要求安排，工序搭配逻辑关系和关键线路基本合理，针对性基本合理的得4分；④施工进度计划按采购文件要求安排，工序搭配逻辑关系和关键线路合理性一般，针对性一般的得1分；⑤施工进度计划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劳动力安排和施工机械投入计划</w:t>
            </w:r>
          </w:p>
        </w:tc>
        <w:tc>
          <w:tcPr>
            <w:tcW w:type="dxa" w:w="3115"/>
          </w:tcPr>
          <w:p>
            <w:pPr>
              <w:pStyle w:val="null5"/>
              <w:jc w:val="left"/>
            </w:pPr>
            <w:r>
              <w:rPr>
                <w:rFonts w:ascii="仿宋_GB2312" w:hAnsi="仿宋_GB2312" w:cs="仿宋_GB2312" w:eastAsia="仿宋_GB2312"/>
              </w:rPr>
              <w:t>①劳动力安排和施工机械投入计划合理可行，与施工进度计划呼应，劳动力搭配、施工机械搭配合理准确的得10分；②劳动力安排和施工机械投入计划较为合理可行，与施工进度计划较为呼应，劳动力搭配、施工机械搭配较为合理准确的得7分；③劳动力安排和施工机械投入计划基本合理可行,与施工进度计划基本呼应，劳动力搭配、施工机械搭配基本合理的得4分；④劳动力安排和施工机械投入计划一般，与施工进度计划呼应程度一般，劳动力搭配、施工机械搭配一般的得1分；⑤劳动力安排和施工机械投入计划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①环境保护管理体系与措施全面充分得力、减少噪音和降低环境污染措施合理可行的得10分；②环境保护管理体系与措施较为充分较为得力，降低污染措施较为可行的得7分；③环境保护管理体系与措施基本全面，降低污染措施基本可行的得4分；④环境保护管理体系与措施一般，降低污染措施一般的得1分；⑤环境保护管理体系与措施和降低污染措施不合理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同类工程施工业绩</w:t>
            </w:r>
          </w:p>
        </w:tc>
        <w:tc>
          <w:tcPr>
            <w:tcW w:type="dxa" w:w="3115"/>
          </w:tcPr>
          <w:p>
            <w:pPr>
              <w:pStyle w:val="null5"/>
              <w:jc w:val="left"/>
            </w:pPr>
            <w:r>
              <w:rPr>
                <w:rFonts w:ascii="仿宋_GB2312" w:hAnsi="仿宋_GB2312" w:cs="仿宋_GB2312" w:eastAsia="仿宋_GB2312"/>
              </w:rPr>
              <w:t>供应商近三年（自2022年03月18日至今）承担过电力工程施工的，每提供一个有效业绩得2分，本项最高得8分，须同时提供中标通知书（或经建设行政主管部门备案的直发包备案表）扫描件或复印件和施工合同扫描件或复印件，加盖供应商公章，业绩起算日期以合同签订日期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项目管理机构其他人员要求</w:t>
            </w:r>
          </w:p>
        </w:tc>
        <w:tc>
          <w:tcPr>
            <w:tcW w:type="dxa" w:w="3115"/>
          </w:tcPr>
          <w:p>
            <w:pPr>
              <w:pStyle w:val="null5"/>
              <w:jc w:val="left"/>
            </w:pPr>
            <w:r>
              <w:rPr>
                <w:rFonts w:ascii="仿宋_GB2312" w:hAnsi="仿宋_GB2312" w:cs="仿宋_GB2312" w:eastAsia="仿宋_GB2312"/>
              </w:rPr>
              <w:t>项目管理机构其他人员要求：技术负责人、施工员、质量员、安全员每个岗位至少1人。技术负责人具有电力工程相关专业中级及以上职称证、施工员和质量员具有岗位证（或岗位培训合格证）、安全员提供1名综合类专职安全生产管理人员（C3类）或者同时提供1名机械类专职安全生产管理人员（C1类）和1名土建类专职安全生产管理人员（C2类）。上述项目管理机构其他人员与供应商签订有效的劳动合同以及近六个月（2024年07月至今连续6个月）供应商向其缴纳的加盖社保机构公章的养老保险缴纳个人明细或对账单或加盖单位公章的12333网页可查询截图或企业所在地养老保险缴纳可查询网址及查询网页截图，提供查询账号密码或验证码。项目管理机构（项目负责人、技术负责人、施工员、质量员、安全员）中仅允许有一名退休人员且须提供有效退休证明。提供项目管理机构其他人员（技术负责人、施工员、质量员、安全员）未在其他在建项目中任职承诺书（格式自拟），项目管理机构其他人员配置符合上述要求的得2分，不满足上述要求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