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宁城县化工园区及周边企业安全风险评估项目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宁城县应急管理局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内蒙古九鼎建设工程项目管理有限公司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CFZCNCS-C-F-250005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内蒙古九鼎建设工程项目管理有限公司</w:t>
      </w:r>
      <w:r>
        <w:rPr>
          <w:rFonts w:ascii="仿宋_GB2312" w:hAnsi="仿宋_GB2312" w:cs="仿宋_GB2312" w:eastAsia="仿宋_GB2312"/>
        </w:rPr>
        <w:t xml:space="preserve"> 受 </w:t>
      </w:r>
      <w:r>
        <w:rPr>
          <w:rFonts w:ascii="仿宋_GB2312" w:hAnsi="仿宋_GB2312" w:cs="仿宋_GB2312" w:eastAsia="仿宋_GB2312"/>
        </w:rPr>
        <w:t>宁城县应急管理局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宁城县化工园区及周边企业安全风险评估项目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宁城县化工园区及周边企业安全风险评估项目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CFZCNCS-C-F-250005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赤政采计划[2025]宁城00069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644,889.00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宁城县化工园区及周边企业安全风险评估项目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644,889.00</w:t>
            </w:r>
          </w:p>
        </w:tc>
        <w:tc>
          <w:tcPr>
            <w:tcW w:type="dxa" w:w="831"/>
          </w:tcPr>
          <w:p>
            <w:pPr>
              <w:pStyle w:val="null5"/>
              <w:jc w:val="left"/>
            </w:pPr>
            <w:r>
              <w:rPr>
                <w:rFonts w:ascii="仿宋_GB2312" w:hAnsi="仿宋_GB2312" w:cs="仿宋_GB2312" w:eastAsia="仿宋_GB2312"/>
              </w:rPr>
              <w:t>包</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内蒙古九鼎建设工程项目管理有限公司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内蒙古自治区赤峰市松山区新城区八家组团临潢大街南、支七路以西东巨办公楼1号楼01041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胡赫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0476-8301805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宁城县应急管理局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宁城县</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孙小航</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0476-4222310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代理服务费收费标准：8000元；专家评审费由中标/成交供应商支付，以实际发生额为准</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宁城县应急管理局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内蒙古九鼎建设工程项目管理有限公司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对赤峰中唐特钢有限公司、赤峰秦风气体有限公司、赤峰市恒荣化工有限公司、赤峰市得丰焦化有限责任公司、赤峰市恒祥化工有限公司、赤峰润邦动物营养科技有限公司、内蒙古中工鑫景化工有限公司、宁城县佳伦醇基燃料有限公司、内蒙古派朋特汽车用品有限公司、赤峰市北翔矿业科技有限公司、赤峰市恒邦热力有限公司、赤峰中永工业气体有限公司等共12家企业开展安全风险评估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自签订合同之日至2025年12月31日完成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赤峰市宁城县</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1、签订合同后，达到付款条件起10日，支付合同总金额的50.00%</w:t>
            </w:r>
          </w:p>
          <w:p>
            <w:pPr>
              <w:pStyle w:val="null5"/>
              <w:jc w:val="left"/>
            </w:pPr>
            <w:r>
              <w:rPr>
                <w:rFonts w:ascii="仿宋_GB2312" w:hAnsi="仿宋_GB2312" w:cs="仿宋_GB2312" w:eastAsia="仿宋_GB2312"/>
              </w:rPr>
              <w:t>2、项目通过采购单位验收合格后，达到付款条件起10日，支付合同总金额的50.00%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成交供应商对拟派本项目的工作人员承担全部民事责任（包含但不限于为本项目服务期间的交通安全）。服务期内所有人员交通、食宿及其他可能产生的全部费用由成交供应商负责。（2）成交供应商需按照以下要求开展工作：①严格执行法律、法规和技术规范、标准，坚持实事求是、客观公正的科学态度和严谨细致的工作作风；②工作期间，深入企业现场，主动了解并掌握与工作有关的情况，查阅与工作有关的文件及技术资料，及时负责地向采购单位提交有结论性意见的书面评估报告；③严格执行保密制度，未经采购单位同意，不得向任何人泄漏工作的相关信息及所涉及到的生产企业的商业和技术秘密；④工作中，需听从采购单位的指挥；⑤成交供应商进行安全评估时，需组织资质水平高、专业能力强、认真负责的人员组成固定的团队开展工作，并指派专人负责。开展前，成交供应商须向采购单位提供专家组人员名单，经采购单位审核备案通过后，方可进行工作；成交供应商开始安全评估工作后，不得无故随意调换团队人员；遇人员身体原因确需调换的，需经采购单位同意后，调换与投标时提供的专家同等资格人员顶替。（3）成交供应商开展安全评估时，必须遵守以下工作纪律：①不准收受企业或者向企业索取专家费等礼品、礼金；②不准在安全评估过程中与企业开展项目洽谈、产品推销、争取赞助等活动；③不准在安全评估期间违规接受企业超标准食宿接待，工作期间一律不得饮酒；④不准在安全评估过程中接受企业安排的旅游观光活动；⑤不准擅自降低安全评估的标准。</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标的名称：宁城县化工园区及周边企业安全风险评估项目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对于危险化学品企业根据《危险化学品企业安全风险隐患排查治理导则》《危险化学品生产储存企业安全风险评估诊断分级指南（试行）》《危险化学品企业安全分类整治目录（2020年）》和《国务院安委办危险化学品重点县指导服务焦化企业专项检查表》，排查安全风险隐患，评定企业安全风险等级；对于其他行业企业按照行业安全生产标准化评审标准进行排查，评定企业安全标准化等级。全面系统评估企业生产储存装置本质安全设计、工艺操作、设备完好性管理和装置安全设施维护、特殊作业管控、变更管理、承包商管理、外部安全防护距离、总图布置、应急处置能力等。</w:t>
            </w:r>
          </w:p>
          <w:p>
            <w:pPr>
              <w:pStyle w:val="null5"/>
              <w:jc w:val="both"/>
            </w:pP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rPr>
              <w:t>对于危险化学品企业依据《应急管理部关于印发化工园区安全风险排查治理导则（试行）和危险化学品企业安全风险隐患排查治理导则的通知》（应急〔2019〕78号）和《国务院安委办危险化学品重点县指导服务焦化企业专项检查表》，对于其他行业企业按照行业安全生产标准化评审标准，通过检查评估对企业安全基础管理安全风险隐患、设计总图与应急消防安全风险隐患、工艺安全风险隐患、设备安全风险隐患、电气与仪表安全风险隐患等方面进行系统全面的评估，查找企业管理及现场存在的隐患，提出整改对策措施建议，和评估诊断分级一并出具《安全评估报告》，提出对策措施。</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对于危险化学品企业依据《应急管理部关于印发危险化学品生产储存企业安全风险评估诊断分级指南（试行）的通知》（应急〔2018〕19号）要求，按“红、橙、黄、蓝”等级评定标准对企业安全状况给予评级；对于其他行业企业按照行业安全生产标准化评审标准，评定企业安全标准化等级。</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企业基本整改完成后，现场逐条复查，并形成《整改复查报告》。</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拟派项目专家组人员要求：拟派5至7名具有安全、化工机械（过程控制）、化工工艺、电气、仪表、总图、金属冶炼等相关专业副高级以上（含）或注册安全工程资格（注册类别需为化工安全或冶金安全）的相关专业技术人员。（供应商需提供承诺书，格式自拟）。</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审查供应商出具的“参加政府采购有依法缴纳税收和社会保障资金的承诺书”（格式自拟）。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到提交响应文件的截止时间，供应商未被列入失信被执行人、重大税收违法失信主体、 政府采购严重违法失信行为记录名单。 注：1.“中国执行信息公开网”网站查询的“失信被执行人”等同于“信用中国”网站查询的“失信被执行人”。</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评估总体内容(12分)</w:t>
            </w:r>
          </w:p>
        </w:tc>
        <w:tc>
          <w:tcPr>
            <w:tcW w:type="dxa" w:w="3115"/>
          </w:tcPr>
          <w:p>
            <w:pPr>
              <w:pStyle w:val="null5"/>
              <w:jc w:val="left"/>
            </w:pPr>
            <w:r>
              <w:rPr>
                <w:rFonts w:ascii="仿宋_GB2312" w:hAnsi="仿宋_GB2312" w:cs="仿宋_GB2312" w:eastAsia="仿宋_GB2312"/>
              </w:rPr>
              <w:t>根据供应商针对本项目评估内容的总体原则、目标、任务理解透彻程度，是否能清晰全面的说明项目内容等进行评审，综合打分。1.评估内容明确，目标清晰，任务理解透彻，得12分；2.评估内容较明确，目标较清晰，任务理解较为透彻，有欠缺，得8分；3.评估内容理解较不清晰，内容及目标较不明确，并不能完全针对本项目，得4分；未提供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评估方案(11.0分)</w:t>
            </w:r>
          </w:p>
        </w:tc>
        <w:tc>
          <w:tcPr>
            <w:tcW w:type="dxa" w:w="3115"/>
          </w:tcPr>
          <w:p>
            <w:pPr>
              <w:pStyle w:val="null5"/>
              <w:jc w:val="left"/>
            </w:pPr>
            <w:r>
              <w:rPr>
                <w:rFonts w:ascii="仿宋_GB2312" w:hAnsi="仿宋_GB2312" w:cs="仿宋_GB2312" w:eastAsia="仿宋_GB2312"/>
              </w:rPr>
              <w:t>根据供应商针对本项目评估方案详细设计说明的全面性、科学性、可行性等进行评审，综合打分。1.评估方案科学合理、全面，可行程度高，得11分；2.评估方案较合理、全面，可行性程度较高，得7分；3.评估方案不太合理，并不能全面描述本项目，可行性程度较低，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工作流程(11.0分)</w:t>
            </w:r>
          </w:p>
        </w:tc>
        <w:tc>
          <w:tcPr>
            <w:tcW w:type="dxa" w:w="3115"/>
          </w:tcPr>
          <w:p>
            <w:pPr>
              <w:pStyle w:val="null5"/>
              <w:jc w:val="left"/>
            </w:pPr>
            <w:r>
              <w:rPr>
                <w:rFonts w:ascii="仿宋_GB2312" w:hAnsi="仿宋_GB2312" w:cs="仿宋_GB2312" w:eastAsia="仿宋_GB2312"/>
              </w:rPr>
              <w:t>据供应商针对本项目工作流程详细说明的全面性、科学性、可行性，等进行评审，综合打分。1.工作流程科学合理、全面，可行程度高，得11分；2.工作流程较合理，有部分内容欠缺，得7分；3.工作流程内容简单，并不能完全针对本项目，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实施进度保障措施(11.0分)</w:t>
            </w:r>
          </w:p>
        </w:tc>
        <w:tc>
          <w:tcPr>
            <w:tcW w:type="dxa" w:w="3115"/>
          </w:tcPr>
          <w:p>
            <w:pPr>
              <w:pStyle w:val="null5"/>
              <w:jc w:val="left"/>
            </w:pPr>
            <w:r>
              <w:rPr>
                <w:rFonts w:ascii="仿宋_GB2312" w:hAnsi="仿宋_GB2312" w:cs="仿宋_GB2312" w:eastAsia="仿宋_GB2312"/>
              </w:rPr>
              <w:t>根据供应商针对本项目的实施进度安排合理性、工序管理措施科学性、处理工期滞后弥补的办法、突发情况的应急办法，等进行评审，综合打分。1.进度措施合理、全面，突发情况应急办法合理、可行程度高，得11分；2.进度措施较合理，突发情况应急办法欠缺，得7分；3.进度措施不全面，内容简单，并不能完全针对本项目，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评估重点、难点分析及合理 化建议(11.0分)</w:t>
            </w:r>
          </w:p>
        </w:tc>
        <w:tc>
          <w:tcPr>
            <w:tcW w:type="dxa" w:w="3115"/>
          </w:tcPr>
          <w:p>
            <w:pPr>
              <w:pStyle w:val="null5"/>
              <w:jc w:val="left"/>
            </w:pPr>
            <w:r>
              <w:rPr>
                <w:rFonts w:ascii="仿宋_GB2312" w:hAnsi="仿宋_GB2312" w:cs="仿宋_GB2312" w:eastAsia="仿宋_GB2312"/>
              </w:rPr>
              <w:t>供应商针对本项目涉及的安全评估的重点、难点进行分析，提出合理化建议方案，整改措施切实可行等进行评审，综合打分。1.重难点分析合理，建议及整改措施合理可行，得11分；2.重难点分析较为合理，建议及整改措施有欠缺，得7分；3.重难点分析内容简单，并不能完全针对本项目，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质量保证措施(11.0分)</w:t>
            </w:r>
          </w:p>
        </w:tc>
        <w:tc>
          <w:tcPr>
            <w:tcW w:type="dxa" w:w="3115"/>
          </w:tcPr>
          <w:p>
            <w:pPr>
              <w:pStyle w:val="null5"/>
              <w:jc w:val="left"/>
            </w:pPr>
            <w:r>
              <w:rPr>
                <w:rFonts w:ascii="仿宋_GB2312" w:hAnsi="仿宋_GB2312" w:cs="仿宋_GB2312" w:eastAsia="仿宋_GB2312"/>
              </w:rPr>
              <w:t>根据供应商质量保证体系与质量保证措施，包括质量保证体系是否建立、质量管理机构设置是否健全，人员配备是否满足，质量目标是否明确，过程控制及相应的保证措施是否合理完善等进行评审，综合打分；1.人员配备齐全，质量保证措施健全，目标明确，过程控制合理，得11分；2.人员配备较齐全，质量保证措施、过程控制有欠缺，得7分；3.质量保证措施内容简单，并不能完全针对本项目，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应急预案(11.0分)</w:t>
            </w:r>
          </w:p>
        </w:tc>
        <w:tc>
          <w:tcPr>
            <w:tcW w:type="dxa" w:w="3115"/>
          </w:tcPr>
          <w:p>
            <w:pPr>
              <w:pStyle w:val="null5"/>
              <w:jc w:val="left"/>
            </w:pPr>
            <w:r>
              <w:rPr>
                <w:rFonts w:ascii="仿宋_GB2312" w:hAnsi="仿宋_GB2312" w:cs="仿宋_GB2312" w:eastAsia="仿宋_GB2312"/>
              </w:rPr>
              <w:t>供应商组建应急管理小组，明确组内密切配合原则，针对突发事件的应急预案内容全面、应急措施合理可行得11分；应急措施基本合理、完整的得7分；应急措施不足得3分；未提供得0分。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业绩12分</w:t>
            </w:r>
          </w:p>
        </w:tc>
        <w:tc>
          <w:tcPr>
            <w:tcW w:type="dxa" w:w="3115"/>
          </w:tcPr>
          <w:p>
            <w:pPr>
              <w:pStyle w:val="null5"/>
              <w:jc w:val="left"/>
            </w:pPr>
            <w:r>
              <w:rPr>
                <w:rFonts w:ascii="仿宋_GB2312" w:hAnsi="仿宋_GB2312" w:cs="仿宋_GB2312" w:eastAsia="仿宋_GB2312"/>
              </w:rPr>
              <w:t>供应商提供2021年1月1日至本项目公告发布之日止完成的类似项目业绩,每提供1个得3分，最多得12分，未提供不得分。 注：响应文件中需提供合同关键页复印件（或扫描件），以合同签订时间为准。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