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2025年全年安全生产诊断和安全管理能力提升服务项目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宁城县应急管理局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内蒙古九鼎建设工程项目管理有限公司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CFZCNCS-C-F-250008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内蒙古九鼎建设工程项目管理有限公司</w:t>
      </w:r>
      <w:r>
        <w:rPr>
          <w:rFonts w:ascii="仿宋_GB2312" w:hAnsi="仿宋_GB2312" w:cs="仿宋_GB2312" w:eastAsia="仿宋_GB2312"/>
        </w:rPr>
        <w:t xml:space="preserve"> 受 </w:t>
      </w:r>
      <w:r>
        <w:rPr>
          <w:rFonts w:ascii="仿宋_GB2312" w:hAnsi="仿宋_GB2312" w:cs="仿宋_GB2312" w:eastAsia="仿宋_GB2312"/>
        </w:rPr>
        <w:t>宁城县应急管理局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2025年全年安全生产诊断和安全管理能力提升服务项目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2025年全年安全生产诊断和安全管理能力提升服务项目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CFZCNCS-C-F-250008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赤政采计划[2025]宁城00073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749,253.00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2025年全年安全生产诊断和安全管理能力提升服务项目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749,253.00</w:t>
            </w:r>
          </w:p>
        </w:tc>
        <w:tc>
          <w:tcPr>
            <w:tcW w:type="dxa" w:w="831"/>
          </w:tcPr>
          <w:p>
            <w:pPr>
              <w:pStyle w:val="null5"/>
              <w:jc w:val="left"/>
            </w:pPr>
            <w:r>
              <w:rPr>
                <w:rFonts w:ascii="仿宋_GB2312" w:hAnsi="仿宋_GB2312" w:cs="仿宋_GB2312" w:eastAsia="仿宋_GB2312"/>
              </w:rPr>
              <w:t>包</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内蒙古九鼎建设工程项目管理有限公司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内蒙古自治区赤峰市松山区新城区八家组团临潢大街南、支七路以西东巨办公楼1号楼01041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胡赫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0476-8301805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宁城县应急管理局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宁城县</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孙小航</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0476-4222310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代理服务费收费标准：8000元；专家评审费由中标/成交供应商支付，以实际发生额为准</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宁城县应急管理局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内蒙古九鼎建设工程项目管理有限公司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对赤峰中唐特钢有限公司、赤峰秦风气体有限公司及赤峰市得丰焦化有限责任公司等三家企业开展全年安全生产诊断和安全管理能力提升服务工作。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自签订合同之日至2025年12月31日完成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赤峰市宁城县</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1、签订合同后，达到付款条件起10日，支付合同总金额的50.00%</w:t>
            </w:r>
          </w:p>
          <w:p>
            <w:pPr>
              <w:pStyle w:val="null5"/>
              <w:jc w:val="left"/>
            </w:pPr>
            <w:r>
              <w:rPr>
                <w:rFonts w:ascii="仿宋_GB2312" w:hAnsi="仿宋_GB2312" w:cs="仿宋_GB2312" w:eastAsia="仿宋_GB2312"/>
              </w:rPr>
              <w:t>2、项目通过采购单位验收合格后，达到付款条件起10日，支付合同总金额的50.00%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成交供应商对拟派本项目的工作人员承担全部民事责任（包含但不限于为本项目服务期间的交通安全）。服务期内所有人员交通、食宿及其他可能产生的全部费用由成交供应商负责。（2）成交供应商需按照以下要求开展工作：①严格执行法律、法规和技术规范、标准，坚持实事求是、客观公正的科学态度和严谨细致的工作作风；②工作期间，深入企业现场，主动了解并掌握与工作有关的情况，查阅与工作有关的文件及技术资料，及时负责地向采购单位提交有结论性意见的书面评估报告；③严格执行保密制度，未经采购单位同意，不得向任何人泄漏工作的相关信息及所涉及到的生产企业的商业和技术秘密；④工作中，需听从采购单位的指挥；⑤成交供应商进行服务时，需组织资质水平高、专业能力强、认真负责的人员组成固定的团队开展工作，并指派专人负责。开展前，成交供应商须向采购单位提供专家组人员名单，经采购单位审核备案通过后，方可进行工作；成交供应商开始安全评估工作后，不得无故随意调换团队人员；遇人员身体原因确需调换的，需经采购单位同意后，调换与投标时提供的专家同等资格人员顶替。（3）成交供应商开展服务时，必须遵守以下工作纪律：①不准收受企业或者向企业索取专家费等礼品、礼金；②不准在服务过程中与企业开展项目洽谈、产品推销、争取赞助等活动；③不准在服务期间违规接受企业超标准食宿接待，工作期间一律不得饮酒；④不准在服务过程中接受企业安排的旅游观光活动；⑤不准擅自降低服务的标准。</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标的名称：2025年全年安全生产诊断和安全管理能力提升服务项目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20"/>
              <w:jc w:val="both"/>
            </w:pPr>
            <w:r>
              <w:rPr>
                <w:rFonts w:ascii="仿宋_GB2312" w:hAnsi="仿宋_GB2312" w:cs="仿宋_GB2312" w:eastAsia="仿宋_GB2312"/>
                <w:sz w:val="21"/>
              </w:rPr>
              <w:t>安全生产“诊断、体检”服务全年不少于4次：组织包括安全管理、金属冶炼、危险化学品、电气安全、仪表管理、消防安全、特种设备等方面的国家及自治区专家，开展安全生产“诊断、体检”，给出问题清单及整改意见。</w:t>
            </w:r>
          </w:p>
          <w:p>
            <w:pPr>
              <w:pStyle w:val="null5"/>
              <w:ind w:firstLine="420"/>
              <w:jc w:val="both"/>
            </w:pPr>
            <w:r>
              <w:rPr>
                <w:rFonts w:ascii="仿宋_GB2312" w:hAnsi="仿宋_GB2312" w:cs="仿宋_GB2312" w:eastAsia="仿宋_GB2312"/>
                <w:sz w:val="21"/>
              </w:rPr>
              <w:t>每个专项的“诊断、体检”满足以下要求：（1）发现的隐患和问题，明确指出隐患和问题主要违反哪些法律、法规、规章、规范性文件、标准，力求具体、详细；（2）针对每项隐患和问题，提出合理、可行的整改、控制措施及改进建议；（3）针对检查情况编制“诊断、体检”问题清单。对隐患和问题进行统计分析、说明典型问题、逐条列出基础管理问题和作业现场问题；（4）整改过程中确保与专家进行及时有效沟通，协助、指导解决问题和隐患。</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rPr>
              <w:t>安全能力提升培训全年不少于4次，每次培训授课时间不少于8学时（1学时45分钟）：根据企业需求，组织国内知名专家开展包括安全生产主体责任落实、全员参与安全管理、安全风险分级管控与隐患排查治理机制建设、安全生产典型事故案例、安全领导力、应急预案知识及应急管理等方面的安全培训。</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rPr>
              <w:t>安全标准化创建指导服务全年不少于2次：组织安全标准化咨询专家深入企业进行全面调研，了解企业现状与需求，并根据调研结果制定个性化的创建计划。然后，开展针对性培训，协助企业完善安全管理制度、规范操作流程，按照安全标准化评审细则指导现场提升，使得企业生产现场满足安全标准化需求。</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rPr>
              <w:t>双重预防体系建设服务全年不少于2次：严格依据国家法规制度，为企业量身打造双重预防体系建设计划规划、建立管理机构、编制管理办法、双体系培训、编制作业活动清单、编制设备设施清单、建立风险点台账、风险辨识、风险评价、风险管控措施编制、风险公示、风险培训、编制隐患排查计划、制定隐患排查表、编制风险四色图及风险清单等服务。</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rPr>
              <w:t>拟派项目专家组人员要求：拟派5至7名具有安全、化工机械（过程控制）、化工工艺、电气、仪表、总图、金属冶炼等相关专业副高级以上（含）或注册安全工程资格（注册类别需为化工安全或冶金安全）的相关专业技术人员。（供应商需提供承诺书，格式自拟）</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审查供应商出具的“参加政府采购有依法缴纳税收和社会保障资金的承诺书”（格式自拟）。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到提交响应文件的截止时间，供应商未被列入失信被执行人、重大税收违法失信主体、 政府采购严重违法失信行为记录名单。 注：1.“中国执行信息公开网”网站查询的“失信被执行人”等同于“信用中国”网站查询的“失信被执行人”。</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对采购项目的理解和总体设计思路 (12分)</w:t>
            </w:r>
          </w:p>
        </w:tc>
        <w:tc>
          <w:tcPr>
            <w:tcW w:type="dxa" w:w="3115"/>
          </w:tcPr>
          <w:p>
            <w:pPr>
              <w:pStyle w:val="null5"/>
              <w:jc w:val="left"/>
            </w:pPr>
            <w:r>
              <w:rPr>
                <w:rFonts w:ascii="仿宋_GB2312" w:hAnsi="仿宋_GB2312" w:cs="仿宋_GB2312" w:eastAsia="仿宋_GB2312"/>
              </w:rPr>
              <w:t>供应商对本项目的安全生产诊断和安全管理能力提升目标、主要工作内容等理解，以及理念和思路进行评定: 1.对项目编制工作内容理解深刻，理念和思路清晰明确，理论和实践基础扎实，得12分； 2.对项目编制工作内容理解较深刻，理念和思路较明确，有一定的理论和实践基础，得8分； 3.基本能够理解项目编制工作内容，安全设计诊断理念和思路一般，理论和实践基础一般得4分； 4.未提供的得0分。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 (11.0分)</w:t>
            </w:r>
          </w:p>
        </w:tc>
        <w:tc>
          <w:tcPr>
            <w:tcW w:type="dxa" w:w="3115"/>
          </w:tcPr>
          <w:p>
            <w:pPr>
              <w:pStyle w:val="null5"/>
              <w:jc w:val="left"/>
            </w:pPr>
            <w:r>
              <w:rPr>
                <w:rFonts w:ascii="仿宋_GB2312" w:hAnsi="仿宋_GB2312" w:cs="仿宋_GB2312" w:eastAsia="仿宋_GB2312"/>
              </w:rPr>
              <w:t>根据供应商针对本项目服务方案详细设计说明的全面性、科学性、可行性等进行评审，综合打分。1. 服务方案科学合理、全面，可行程度高，得11分；2. 服务方案较合理、全面，可行性程度较高，得7分；3. 服务方案不太合理，并不能全面描述本项目，可行性程度较低，得3分；未提供得0分。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工作流程(11.0分)</w:t>
            </w:r>
          </w:p>
        </w:tc>
        <w:tc>
          <w:tcPr>
            <w:tcW w:type="dxa" w:w="3115"/>
          </w:tcPr>
          <w:p>
            <w:pPr>
              <w:pStyle w:val="null5"/>
              <w:jc w:val="left"/>
            </w:pPr>
            <w:r>
              <w:rPr>
                <w:rFonts w:ascii="仿宋_GB2312" w:hAnsi="仿宋_GB2312" w:cs="仿宋_GB2312" w:eastAsia="仿宋_GB2312"/>
              </w:rPr>
              <w:t>根据供应商针对本项目工作流程详细说明的全面性、科学性、可行性，等进行评审，综合打分。1.工作流程科学合理、全面，可行程度高，得11分；2.工作流程较合理，有部分内容欠缺，得7分；3.工作流程内容简单，并不能完全针对本项目，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实施进度保障措施(11.0分)</w:t>
            </w:r>
          </w:p>
        </w:tc>
        <w:tc>
          <w:tcPr>
            <w:tcW w:type="dxa" w:w="3115"/>
          </w:tcPr>
          <w:p>
            <w:pPr>
              <w:pStyle w:val="null5"/>
              <w:jc w:val="left"/>
            </w:pPr>
            <w:r>
              <w:rPr>
                <w:rFonts w:ascii="仿宋_GB2312" w:hAnsi="仿宋_GB2312" w:cs="仿宋_GB2312" w:eastAsia="仿宋_GB2312"/>
              </w:rPr>
              <w:t>根据供应商针对本项目的实施进度安排合理性、工序管理措施科学性、处理工期滞后弥补的办法、突发情况的应急办法，等进行评审，综合打分。1.进度措施合理、全面，突发情况应急办法合理、可行程度高，得11分；2.进度措施较合理，突发情况应急办法欠缺，得7分；3.进度措施不全面，内容简单，并不能完全针对本项目，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重点、难点分析及合理化建议(11.0分)</w:t>
            </w:r>
          </w:p>
        </w:tc>
        <w:tc>
          <w:tcPr>
            <w:tcW w:type="dxa" w:w="3115"/>
          </w:tcPr>
          <w:p>
            <w:pPr>
              <w:pStyle w:val="null5"/>
              <w:jc w:val="left"/>
            </w:pPr>
            <w:r>
              <w:rPr>
                <w:rFonts w:ascii="仿宋_GB2312" w:hAnsi="仿宋_GB2312" w:cs="仿宋_GB2312" w:eastAsia="仿宋_GB2312"/>
              </w:rPr>
              <w:t>供应商针对本项目涉及的的重点、难点进行分析，提出合理化建议方案，整改措施切实可行等进行评审，综合打分。1.重难点分析合理，建议及整改措施合理可行，得11分；2.重难点分析较为合理，建议及整改措施有欠缺，得7分；3.重难点分析内容简单，并不能完全针对本项目，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质量保证措施(11.0分)</w:t>
            </w:r>
          </w:p>
        </w:tc>
        <w:tc>
          <w:tcPr>
            <w:tcW w:type="dxa" w:w="3115"/>
          </w:tcPr>
          <w:p>
            <w:pPr>
              <w:pStyle w:val="null5"/>
              <w:jc w:val="left"/>
            </w:pPr>
            <w:r>
              <w:rPr>
                <w:rFonts w:ascii="仿宋_GB2312" w:hAnsi="仿宋_GB2312" w:cs="仿宋_GB2312" w:eastAsia="仿宋_GB2312"/>
              </w:rPr>
              <w:t>根据供应商质量保证体系与质量保证措施，包括质量保证体系是否建立、质量管理机构设置是否健全，质量目标是否明确，过程控制及相应的保证措施是否合理完善等进行评审，综合打分；1.人员配备齐全，质量保证措施健全，目标明确，过程控制合理，得11分；2.人员配备较齐全，质量保证措施、过程控制有欠缺，得7分；3.质量保证措施内容简单，并不能完全针对本项目，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应急预案(11.0分)</w:t>
            </w:r>
          </w:p>
        </w:tc>
        <w:tc>
          <w:tcPr>
            <w:tcW w:type="dxa" w:w="3115"/>
          </w:tcPr>
          <w:p>
            <w:pPr>
              <w:pStyle w:val="null5"/>
              <w:jc w:val="left"/>
            </w:pPr>
            <w:r>
              <w:rPr>
                <w:rFonts w:ascii="仿宋_GB2312" w:hAnsi="仿宋_GB2312" w:cs="仿宋_GB2312" w:eastAsia="仿宋_GB2312"/>
              </w:rPr>
              <w:t>供应商组建应急管理小组，明确组内密切配合原则，针对突发事件的应急预案内容全面、应急措施合理可行得11分；应急措施基本合理、完整的得7分；应急措施不足得3分；未提供不得分。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业绩12分</w:t>
            </w:r>
          </w:p>
        </w:tc>
        <w:tc>
          <w:tcPr>
            <w:tcW w:type="dxa" w:w="3115"/>
          </w:tcPr>
          <w:p>
            <w:pPr>
              <w:pStyle w:val="null5"/>
              <w:jc w:val="left"/>
            </w:pPr>
            <w:r>
              <w:rPr>
                <w:rFonts w:ascii="仿宋_GB2312" w:hAnsi="仿宋_GB2312" w:cs="仿宋_GB2312" w:eastAsia="仿宋_GB2312"/>
              </w:rPr>
              <w:t>供应商提供2021年1月1日至本项目公告发布之日止完成的类似项目业绩,每提供1个得3分，最多得12分，未提供不得分。 注：响应文件中需提供合同关键页复印件（或扫描件），以合同签订时间为准。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