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2023年中央财政秸秆综合利用项目农机设备采购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宁城县农牧局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国友项目管理集团有限公司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CFZCNCS-G-H-250011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国友项目管理集团有限公司</w:t>
      </w:r>
      <w:r>
        <w:rPr>
          <w:rFonts w:ascii="仿宋_GB2312" w:hAnsi="仿宋_GB2312" w:cs="仿宋_GB2312" w:eastAsia="仿宋_GB2312"/>
        </w:rPr>
        <w:t xml:space="preserve"> 受 </w:t>
      </w:r>
      <w:r>
        <w:rPr>
          <w:rFonts w:ascii="仿宋_GB2312" w:hAnsi="仿宋_GB2312" w:cs="仿宋_GB2312" w:eastAsia="仿宋_GB2312"/>
        </w:rPr>
        <w:t>宁城县农牧局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2023年中央财政秸秆综合利用项目农机设备采购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2023年中央财政秸秆综合利用项目农机设备采购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CFZCNCS-G-H-250011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赤政采计划[2025]宁城00100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5,784,000.00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2023年中央财政秸秆综合利用项目农机设备采购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5,784,000.00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国友项目管理集团有限公司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福建省宁德市古田县城西街道跃进路66-1号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352000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0476-2840025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宁城县农牧局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宁城县党政综合楼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肖悦</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0476-2840015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建设工程招标代理服务收费指导意见》的通知（内工建协【2022】34号文件）中“货物类别”标准收取，付费金额按差额定率累进法计算</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宁城县农牧局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国友项目管理集团有限公司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审查投标人2023年或2024年度经会计师事务所出具的财务审计报告或其基本开户银行出具的近一年内的银行资信证明。（自成立之日起不足一年的投标人，提供至少近一个月的完整的财务报表或资信证明）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2023年中央财政秸秆综合利用项目农机设备采购。（其中：704拖拉机（国四）31台，方捆自动捡拾打捆机3台，双旋耕机31台，两驱收割还田作业机（国四）9台）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704拖拉机（国四）、方捆自动捡拾打捆机、双旋耕机自合同签订之日起30日内完成供货。两驱收割还田作业机（国四）2025年08月31日前完成供货。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赤峰市宁城县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1、设备到场调试完成且验收合格后一次性支付，达到付款条件起10日，支付合同总金额的100.00%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投标人须对所投货物进行分项报价，填写分项报价表并上传至投标文件中（分项报价表格式见公告附件）。</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标的名称：2023年中央财政秸秆综合利用项目农机设备采购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704拖拉机（国四）（31台）</w:t>
            </w:r>
          </w:p>
          <w:p>
            <w:pPr>
              <w:pStyle w:val="null5"/>
              <w:jc w:val="left"/>
            </w:pPr>
            <w:r>
              <w:rPr>
                <w:rFonts w:ascii="仿宋_GB2312" w:hAnsi="仿宋_GB2312" w:cs="仿宋_GB2312" w:eastAsia="仿宋_GB2312"/>
                <w:sz w:val="24"/>
                <w:color w:val="000000"/>
              </w:rPr>
              <w:t>1、整机外廊尺寸（长×宽×高及部位）：≥3700×1380×2350（安全架顶部）mm</w:t>
            </w:r>
          </w:p>
          <w:p>
            <w:pPr>
              <w:pStyle w:val="null5"/>
              <w:jc w:val="left"/>
            </w:pPr>
            <w:r>
              <w:rPr>
                <w:rFonts w:ascii="仿宋_GB2312" w:hAnsi="仿宋_GB2312" w:cs="仿宋_GB2312" w:eastAsia="仿宋_GB2312"/>
                <w:sz w:val="24"/>
                <w:color w:val="000000"/>
              </w:rPr>
              <w:t>2、轴距：≥1900mm</w:t>
            </w:r>
          </w:p>
          <w:p>
            <w:pPr>
              <w:pStyle w:val="null5"/>
              <w:jc w:val="left"/>
            </w:pPr>
            <w:r>
              <w:rPr>
                <w:rFonts w:ascii="仿宋_GB2312" w:hAnsi="仿宋_GB2312" w:cs="仿宋_GB2312" w:eastAsia="仿宋_GB2312"/>
                <w:sz w:val="24"/>
                <w:color w:val="000000"/>
              </w:rPr>
              <w:t>3、常用轮距(前轮/后轮)：≥1060/1060mm</w:t>
            </w:r>
          </w:p>
          <w:p>
            <w:pPr>
              <w:pStyle w:val="null5"/>
              <w:jc w:val="left"/>
            </w:pPr>
            <w:r>
              <w:rPr>
                <w:rFonts w:ascii="仿宋_GB2312" w:hAnsi="仿宋_GB2312" w:cs="仿宋_GB2312" w:eastAsia="仿宋_GB2312"/>
                <w:sz w:val="24"/>
                <w:color w:val="000000"/>
              </w:rPr>
              <w:t>4、最小离地间隙及部位：≥420（前桥底部）mm</w:t>
            </w:r>
          </w:p>
          <w:p>
            <w:pPr>
              <w:pStyle w:val="null5"/>
              <w:jc w:val="left"/>
            </w:pPr>
            <w:r>
              <w:rPr>
                <w:rFonts w:ascii="仿宋_GB2312" w:hAnsi="仿宋_GB2312" w:cs="仿宋_GB2312" w:eastAsia="仿宋_GB2312"/>
                <w:sz w:val="24"/>
                <w:color w:val="000000"/>
              </w:rPr>
              <w:t>5、离合器壳体前端面至后驱动轴轴心线的水平距离：≥1108mm</w:t>
            </w:r>
          </w:p>
          <w:p>
            <w:pPr>
              <w:pStyle w:val="null5"/>
              <w:jc w:val="left"/>
            </w:pPr>
            <w:r>
              <w:rPr>
                <w:rFonts w:ascii="仿宋_GB2312" w:hAnsi="仿宋_GB2312" w:cs="仿宋_GB2312" w:eastAsia="仿宋_GB2312"/>
                <w:sz w:val="24"/>
                <w:color w:val="000000"/>
              </w:rPr>
              <w:t>6、变速箱齿轮副轴孔中心距：≥80.5</w:t>
            </w:r>
          </w:p>
          <w:p>
            <w:pPr>
              <w:pStyle w:val="null5"/>
              <w:jc w:val="left"/>
            </w:pPr>
            <w:r>
              <w:rPr>
                <w:rFonts w:ascii="仿宋_GB2312" w:hAnsi="仿宋_GB2312" w:cs="仿宋_GB2312" w:eastAsia="仿宋_GB2312"/>
                <w:sz w:val="24"/>
                <w:color w:val="000000"/>
              </w:rPr>
              <w:t>7、最小使用质量：≥2105kg</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本项为实质性参数，不满足视为无效标</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8、标准配重(前/后)：≥100/120kg</w:t>
            </w:r>
          </w:p>
          <w:p>
            <w:pPr>
              <w:pStyle w:val="null5"/>
              <w:jc w:val="left"/>
            </w:pPr>
            <w:r>
              <w:rPr>
                <w:rFonts w:ascii="仿宋_GB2312" w:hAnsi="仿宋_GB2312" w:cs="仿宋_GB2312" w:eastAsia="仿宋_GB2312"/>
                <w:sz w:val="24"/>
                <w:color w:val="000000"/>
              </w:rPr>
              <w:t>9、档位数：前进≥8</w:t>
            </w:r>
            <w:r>
              <w:rPr>
                <w:rFonts w:ascii="仿宋_GB2312" w:hAnsi="仿宋_GB2312" w:cs="仿宋_GB2312" w:eastAsia="仿宋_GB2312"/>
                <w:sz w:val="24"/>
                <w:color w:val="000000"/>
              </w:rPr>
              <w:t>，</w:t>
            </w:r>
            <w:r>
              <w:rPr>
                <w:rFonts w:ascii="仿宋_GB2312" w:hAnsi="仿宋_GB2312" w:cs="仿宋_GB2312" w:eastAsia="仿宋_GB2312"/>
                <w:sz w:val="24"/>
                <w:color w:val="000000"/>
              </w:rPr>
              <w:t>倒退</w:t>
            </w:r>
            <w:r>
              <w:rPr>
                <w:rFonts w:ascii="仿宋_GB2312" w:hAnsi="仿宋_GB2312" w:cs="仿宋_GB2312" w:eastAsia="仿宋_GB2312"/>
                <w:sz w:val="24"/>
                <w:color w:val="000000"/>
              </w:rPr>
              <w:t>≥8</w:t>
            </w:r>
          </w:p>
          <w:p>
            <w:pPr>
              <w:pStyle w:val="null5"/>
              <w:jc w:val="left"/>
            </w:pPr>
            <w:r>
              <w:rPr>
                <w:rFonts w:ascii="仿宋_GB2312" w:hAnsi="仿宋_GB2312" w:cs="仿宋_GB2312" w:eastAsia="仿宋_GB2312"/>
                <w:sz w:val="24"/>
                <w:color w:val="000000"/>
              </w:rPr>
              <w:t>10、最高设计理论速度：≥37.78km/h</w:t>
            </w:r>
          </w:p>
          <w:p>
            <w:pPr>
              <w:pStyle w:val="null5"/>
              <w:jc w:val="left"/>
            </w:pPr>
            <w:r>
              <w:rPr>
                <w:rFonts w:ascii="仿宋_GB2312" w:hAnsi="仿宋_GB2312" w:cs="仿宋_GB2312" w:eastAsia="仿宋_GB2312"/>
                <w:sz w:val="24"/>
                <w:color w:val="000000"/>
              </w:rPr>
              <w:t>11、发动机进气方式：涡轮增压</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本项为实质性参数，不满足视为无效标</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12、发动机标定功率：≥51.5KW</w:t>
            </w:r>
          </w:p>
          <w:p>
            <w:pPr>
              <w:pStyle w:val="null5"/>
              <w:jc w:val="left"/>
            </w:pPr>
            <w:r>
              <w:rPr>
                <w:rFonts w:ascii="仿宋_GB2312" w:hAnsi="仿宋_GB2312" w:cs="仿宋_GB2312" w:eastAsia="仿宋_GB2312"/>
                <w:sz w:val="24"/>
                <w:color w:val="000000"/>
              </w:rPr>
              <w:t>13、动力输出轴标准转速：≥540/720r/min</w:t>
            </w:r>
          </w:p>
          <w:p>
            <w:pPr>
              <w:pStyle w:val="null5"/>
              <w:jc w:val="left"/>
            </w:pPr>
            <w:r>
              <w:rPr>
                <w:rFonts w:ascii="仿宋_GB2312" w:hAnsi="仿宋_GB2312" w:cs="仿宋_GB2312" w:eastAsia="仿宋_GB2312"/>
                <w:sz w:val="24"/>
                <w:color w:val="000000"/>
              </w:rPr>
              <w:t>14、悬挂装置类别：1类</w:t>
            </w:r>
          </w:p>
          <w:p>
            <w:pPr>
              <w:pStyle w:val="null5"/>
              <w:jc w:val="left"/>
            </w:pPr>
            <w:r>
              <w:rPr>
                <w:rFonts w:ascii="仿宋_GB2312" w:hAnsi="仿宋_GB2312" w:cs="仿宋_GB2312" w:eastAsia="仿宋_GB2312"/>
                <w:sz w:val="24"/>
                <w:b/>
                <w:color w:val="000000"/>
              </w:rPr>
              <w:t>二、方捆</w:t>
            </w:r>
            <w:r>
              <w:rPr>
                <w:rFonts w:ascii="仿宋_GB2312" w:hAnsi="仿宋_GB2312" w:cs="仿宋_GB2312" w:eastAsia="仿宋_GB2312"/>
                <w:sz w:val="24"/>
                <w:b/>
                <w:color w:val="000000"/>
              </w:rPr>
              <w:t>自动捡拾打捆机</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3台</w:t>
            </w:r>
            <w:r>
              <w:rPr>
                <w:rFonts w:ascii="仿宋_GB2312" w:hAnsi="仿宋_GB2312" w:cs="仿宋_GB2312" w:eastAsia="仿宋_GB2312"/>
                <w:sz w:val="24"/>
                <w:b/>
                <w:color w:val="000000"/>
              </w:rPr>
              <w:t>）</w:t>
            </w:r>
          </w:p>
          <w:p>
            <w:pPr>
              <w:pStyle w:val="null5"/>
              <w:jc w:val="left"/>
            </w:pPr>
            <w:r>
              <w:rPr>
                <w:rFonts w:ascii="仿宋_GB2312" w:hAnsi="仿宋_GB2312" w:cs="仿宋_GB2312" w:eastAsia="仿宋_GB2312"/>
                <w:sz w:val="24"/>
                <w:color w:val="000000"/>
              </w:rPr>
              <w:t>1、压缩室截面尺寸（宽*高）</w:t>
            </w:r>
            <w:r>
              <w:rPr>
                <w:rFonts w:ascii="仿宋_GB2312" w:hAnsi="仿宋_GB2312" w:cs="仿宋_GB2312" w:eastAsia="仿宋_GB2312"/>
                <w:sz w:val="24"/>
                <w:color w:val="000000"/>
              </w:rPr>
              <w:t>：</w:t>
            </w:r>
            <w:r>
              <w:rPr>
                <w:rFonts w:ascii="仿宋_GB2312" w:hAnsi="仿宋_GB2312" w:cs="仿宋_GB2312" w:eastAsia="仿宋_GB2312"/>
                <w:sz w:val="24"/>
                <w:color w:val="000000"/>
              </w:rPr>
              <w:t>≥330×420mm</w:t>
            </w:r>
          </w:p>
          <w:p>
            <w:pPr>
              <w:pStyle w:val="null5"/>
              <w:jc w:val="left"/>
            </w:pPr>
            <w:r>
              <w:rPr>
                <w:rFonts w:ascii="仿宋_GB2312" w:hAnsi="仿宋_GB2312" w:cs="仿宋_GB2312" w:eastAsia="仿宋_GB2312"/>
                <w:sz w:val="24"/>
                <w:color w:val="000000"/>
              </w:rPr>
              <w:t>2、捡拾器结构型式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锤爪式</w:t>
            </w:r>
          </w:p>
          <w:p>
            <w:pPr>
              <w:pStyle w:val="null5"/>
              <w:jc w:val="left"/>
            </w:pPr>
            <w:r>
              <w:rPr>
                <w:rFonts w:ascii="仿宋_GB2312" w:hAnsi="仿宋_GB2312" w:cs="仿宋_GB2312" w:eastAsia="仿宋_GB2312"/>
                <w:sz w:val="24"/>
                <w:color w:val="000000"/>
              </w:rPr>
              <w:t>3、捡拾器宽度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≥2200mm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本项为实质性参数，不满足视为无效标</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4、挂接方式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牵引式</w:t>
            </w:r>
          </w:p>
          <w:p>
            <w:pPr>
              <w:pStyle w:val="null5"/>
              <w:jc w:val="left"/>
            </w:pPr>
            <w:r>
              <w:rPr>
                <w:rFonts w:ascii="仿宋_GB2312" w:hAnsi="仿宋_GB2312" w:cs="仿宋_GB2312" w:eastAsia="仿宋_GB2312"/>
                <w:sz w:val="24"/>
                <w:color w:val="000000"/>
              </w:rPr>
              <w:t>5、配套动力</w:t>
            </w:r>
            <w:r>
              <w:rPr>
                <w:rFonts w:ascii="仿宋_GB2312" w:hAnsi="仿宋_GB2312" w:cs="仿宋_GB2312" w:eastAsia="仿宋_GB2312"/>
                <w:sz w:val="24"/>
                <w:color w:val="000000"/>
              </w:rPr>
              <w:t>：</w:t>
            </w:r>
            <w:r>
              <w:rPr>
                <w:rFonts w:ascii="仿宋_GB2312" w:hAnsi="仿宋_GB2312" w:cs="仿宋_GB2312" w:eastAsia="仿宋_GB2312"/>
                <w:sz w:val="24"/>
                <w:color w:val="000000"/>
              </w:rPr>
              <w:t>≥88kw</w:t>
            </w:r>
          </w:p>
          <w:p>
            <w:pPr>
              <w:pStyle w:val="null5"/>
              <w:jc w:val="left"/>
            </w:pPr>
            <w:r>
              <w:rPr>
                <w:rFonts w:ascii="仿宋_GB2312" w:hAnsi="仿宋_GB2312" w:cs="仿宋_GB2312" w:eastAsia="仿宋_GB2312"/>
                <w:sz w:val="24"/>
                <w:color w:val="000000"/>
              </w:rPr>
              <w:t>6、草捆密度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≥100kg/m³</w:t>
            </w:r>
          </w:p>
          <w:p>
            <w:pPr>
              <w:pStyle w:val="null5"/>
              <w:jc w:val="left"/>
            </w:pPr>
            <w:r>
              <w:rPr>
                <w:rFonts w:ascii="仿宋_GB2312" w:hAnsi="仿宋_GB2312" w:cs="仿宋_GB2312" w:eastAsia="仿宋_GB2312"/>
                <w:sz w:val="24"/>
                <w:color w:val="000000"/>
              </w:rPr>
              <w:t>7、成捆率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≥98%</w:t>
            </w:r>
          </w:p>
          <w:p>
            <w:pPr>
              <w:pStyle w:val="null5"/>
              <w:jc w:val="left"/>
            </w:pPr>
            <w:r>
              <w:rPr>
                <w:rFonts w:ascii="仿宋_GB2312" w:hAnsi="仿宋_GB2312" w:cs="仿宋_GB2312" w:eastAsia="仿宋_GB2312"/>
                <w:sz w:val="24"/>
                <w:color w:val="000000"/>
              </w:rPr>
              <w:t>8、喂入器结构型式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螺旋连续喂入机构</w:t>
            </w:r>
          </w:p>
          <w:p>
            <w:pPr>
              <w:pStyle w:val="null5"/>
              <w:jc w:val="left"/>
            </w:pPr>
            <w:r>
              <w:rPr>
                <w:rFonts w:ascii="仿宋_GB2312" w:hAnsi="仿宋_GB2312" w:cs="仿宋_GB2312" w:eastAsia="仿宋_GB2312"/>
                <w:sz w:val="24"/>
                <w:color w:val="000000"/>
              </w:rPr>
              <w:t>9、草捆包装形式：塑料袋、尼龙编制袋、网袋</w:t>
            </w:r>
          </w:p>
          <w:p>
            <w:pPr>
              <w:pStyle w:val="null5"/>
              <w:jc w:val="left"/>
            </w:pPr>
            <w:r>
              <w:rPr>
                <w:rFonts w:ascii="仿宋_GB2312" w:hAnsi="仿宋_GB2312" w:cs="仿宋_GB2312" w:eastAsia="仿宋_GB2312"/>
                <w:sz w:val="24"/>
                <w:color w:val="000000"/>
              </w:rPr>
              <w:t>10、主油缸行程</w:t>
            </w:r>
            <w:r>
              <w:rPr>
                <w:rFonts w:ascii="仿宋_GB2312" w:hAnsi="仿宋_GB2312" w:cs="仿宋_GB2312" w:eastAsia="仿宋_GB2312"/>
                <w:sz w:val="24"/>
                <w:color w:val="000000"/>
              </w:rPr>
              <w:t>：</w:t>
            </w:r>
            <w:r>
              <w:rPr>
                <w:rFonts w:ascii="仿宋_GB2312" w:hAnsi="仿宋_GB2312" w:cs="仿宋_GB2312" w:eastAsia="仿宋_GB2312"/>
                <w:sz w:val="24"/>
                <w:color w:val="000000"/>
              </w:rPr>
              <w:t>≥900mm</w:t>
            </w:r>
          </w:p>
          <w:p>
            <w:pPr>
              <w:pStyle w:val="null5"/>
              <w:jc w:val="left"/>
            </w:pPr>
            <w:r>
              <w:rPr>
                <w:rFonts w:ascii="仿宋_GB2312" w:hAnsi="仿宋_GB2312" w:cs="仿宋_GB2312" w:eastAsia="仿宋_GB2312"/>
                <w:sz w:val="24"/>
                <w:color w:val="000000"/>
              </w:rPr>
              <w:t>11、压缩油缸行程</w:t>
            </w:r>
            <w:r>
              <w:rPr>
                <w:rFonts w:ascii="仿宋_GB2312" w:hAnsi="仿宋_GB2312" w:cs="仿宋_GB2312" w:eastAsia="仿宋_GB2312"/>
                <w:sz w:val="24"/>
                <w:color w:val="000000"/>
              </w:rPr>
              <w:t>：</w:t>
            </w:r>
            <w:r>
              <w:rPr>
                <w:rFonts w:ascii="仿宋_GB2312" w:hAnsi="仿宋_GB2312" w:cs="仿宋_GB2312" w:eastAsia="仿宋_GB2312"/>
                <w:sz w:val="24"/>
                <w:color w:val="000000"/>
              </w:rPr>
              <w:t>≥400mm</w:t>
            </w:r>
          </w:p>
          <w:p>
            <w:pPr>
              <w:pStyle w:val="null5"/>
              <w:jc w:val="left"/>
            </w:pPr>
            <w:r>
              <w:rPr>
                <w:rFonts w:ascii="仿宋_GB2312" w:hAnsi="仿宋_GB2312" w:cs="仿宋_GB2312" w:eastAsia="仿宋_GB2312"/>
                <w:sz w:val="24"/>
                <w:color w:val="000000"/>
              </w:rPr>
              <w:t>12、推料油缸行程</w:t>
            </w:r>
            <w:r>
              <w:rPr>
                <w:rFonts w:ascii="仿宋_GB2312" w:hAnsi="仿宋_GB2312" w:cs="仿宋_GB2312" w:eastAsia="仿宋_GB2312"/>
                <w:sz w:val="24"/>
                <w:color w:val="000000"/>
              </w:rPr>
              <w:t>：</w:t>
            </w:r>
            <w:r>
              <w:rPr>
                <w:rFonts w:ascii="仿宋_GB2312" w:hAnsi="仿宋_GB2312" w:cs="仿宋_GB2312" w:eastAsia="仿宋_GB2312"/>
                <w:sz w:val="24"/>
                <w:color w:val="000000"/>
              </w:rPr>
              <w:t>≥780mm</w:t>
            </w:r>
          </w:p>
          <w:p>
            <w:pPr>
              <w:pStyle w:val="null5"/>
              <w:jc w:val="left"/>
            </w:pPr>
            <w:r>
              <w:rPr>
                <w:rFonts w:ascii="仿宋_GB2312" w:hAnsi="仿宋_GB2312" w:cs="仿宋_GB2312" w:eastAsia="仿宋_GB2312"/>
                <w:sz w:val="24"/>
                <w:color w:val="000000"/>
              </w:rPr>
              <w:t>13、系统工作压力：≥18MPa</w:t>
            </w:r>
          </w:p>
          <w:p>
            <w:pPr>
              <w:pStyle w:val="null5"/>
              <w:jc w:val="left"/>
            </w:pPr>
            <w:r>
              <w:rPr>
                <w:rFonts w:ascii="仿宋_GB2312" w:hAnsi="仿宋_GB2312" w:cs="仿宋_GB2312" w:eastAsia="仿宋_GB2312"/>
                <w:sz w:val="24"/>
                <w:color w:val="000000"/>
              </w:rPr>
              <w:t>14、捡拾锤爪数量：≥16</w:t>
            </w:r>
          </w:p>
          <w:p>
            <w:pPr>
              <w:pStyle w:val="null5"/>
              <w:jc w:val="left"/>
            </w:pPr>
            <w:r>
              <w:rPr>
                <w:rFonts w:ascii="仿宋_GB2312" w:hAnsi="仿宋_GB2312" w:cs="仿宋_GB2312" w:eastAsia="仿宋_GB2312"/>
                <w:sz w:val="24"/>
                <w:color w:val="000000"/>
              </w:rPr>
              <w:t>15、打捆范围：收获站秆、倒秆、收割机作业后的碎秆等，可一次性完成捡拾、粉碎、揉搓、二次除尘、压块、打包过程。</w:t>
            </w:r>
          </w:p>
          <w:p>
            <w:pPr>
              <w:pStyle w:val="null5"/>
              <w:jc w:val="left"/>
            </w:pPr>
            <w:r>
              <w:rPr>
                <w:rFonts w:ascii="仿宋_GB2312" w:hAnsi="仿宋_GB2312" w:cs="仿宋_GB2312" w:eastAsia="仿宋_GB2312"/>
                <w:sz w:val="24"/>
                <w:color w:val="000000"/>
              </w:rPr>
              <w:t>16、保护装置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系统自带安全保护</w:t>
            </w:r>
            <w:r>
              <w:rPr>
                <w:rFonts w:ascii="仿宋_GB2312" w:hAnsi="仿宋_GB2312" w:cs="仿宋_GB2312" w:eastAsia="仿宋_GB2312"/>
                <w:sz w:val="24"/>
                <w:color w:val="000000"/>
              </w:rPr>
              <w:t>(传动机构等有危险隐患部位有明显安全警示标志)</w:t>
            </w:r>
          </w:p>
          <w:p>
            <w:pPr>
              <w:pStyle w:val="null5"/>
              <w:jc w:val="left"/>
            </w:pPr>
            <w:r>
              <w:rPr>
                <w:rFonts w:ascii="仿宋_GB2312" w:hAnsi="仿宋_GB2312" w:cs="仿宋_GB2312" w:eastAsia="仿宋_GB2312"/>
                <w:sz w:val="24"/>
                <w:color w:val="000000"/>
              </w:rPr>
              <w:t>17、智能系统</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1)手机智能(标配北斗4G</w:t>
            </w:r>
            <w:r>
              <w:rPr>
                <w:rFonts w:ascii="仿宋_GB2312" w:hAnsi="仿宋_GB2312" w:cs="仿宋_GB2312" w:eastAsia="仿宋_GB2312"/>
                <w:sz w:val="24"/>
                <w:color w:val="000000"/>
              </w:rPr>
              <w:t>及以上</w:t>
            </w:r>
            <w:r>
              <w:rPr>
                <w:rFonts w:ascii="仿宋_GB2312" w:hAnsi="仿宋_GB2312" w:cs="仿宋_GB2312" w:eastAsia="仿宋_GB2312"/>
                <w:sz w:val="24"/>
                <w:color w:val="000000"/>
              </w:rPr>
              <w:t>定位等管理功能</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2)机械故障和机械维护自动提示功能</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18、捆扎方式：自动缠网</w:t>
            </w:r>
          </w:p>
          <w:p>
            <w:pPr>
              <w:pStyle w:val="null5"/>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双旋耕机</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31台</w:t>
            </w:r>
            <w:r>
              <w:rPr>
                <w:rFonts w:ascii="仿宋_GB2312" w:hAnsi="仿宋_GB2312" w:cs="仿宋_GB2312" w:eastAsia="仿宋_GB2312"/>
                <w:sz w:val="24"/>
                <w:b/>
                <w:color w:val="000000"/>
              </w:rPr>
              <w:t>）</w:t>
            </w:r>
          </w:p>
          <w:p>
            <w:pPr>
              <w:pStyle w:val="null5"/>
              <w:jc w:val="left"/>
            </w:pPr>
            <w:r>
              <w:rPr>
                <w:rFonts w:ascii="仿宋_GB2312" w:hAnsi="仿宋_GB2312" w:cs="仿宋_GB2312" w:eastAsia="仿宋_GB2312"/>
                <w:sz w:val="24"/>
                <w:color w:val="000000"/>
              </w:rPr>
              <w:t>1、耕幅：≥1600mm</w:t>
            </w:r>
          </w:p>
          <w:p>
            <w:pPr>
              <w:pStyle w:val="null5"/>
              <w:jc w:val="left"/>
            </w:pPr>
            <w:r>
              <w:rPr>
                <w:rFonts w:ascii="仿宋_GB2312" w:hAnsi="仿宋_GB2312" w:cs="仿宋_GB2312" w:eastAsia="仿宋_GB2312"/>
                <w:sz w:val="24"/>
                <w:color w:val="000000"/>
              </w:rPr>
              <w:t>2、配套发动机额定功率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≥51KW</w:t>
            </w:r>
          </w:p>
          <w:p>
            <w:pPr>
              <w:pStyle w:val="null5"/>
              <w:jc w:val="left"/>
            </w:pPr>
            <w:r>
              <w:rPr>
                <w:rFonts w:ascii="仿宋_GB2312" w:hAnsi="仿宋_GB2312" w:cs="仿宋_GB2312" w:eastAsia="仿宋_GB2312"/>
                <w:sz w:val="24"/>
                <w:b/>
                <w:color w:val="000000"/>
              </w:rPr>
              <w:t>四、两驱</w:t>
            </w:r>
            <w:r>
              <w:rPr>
                <w:rFonts w:ascii="仿宋_GB2312" w:hAnsi="仿宋_GB2312" w:cs="仿宋_GB2312" w:eastAsia="仿宋_GB2312"/>
                <w:sz w:val="24"/>
                <w:b/>
                <w:color w:val="000000"/>
              </w:rPr>
              <w:t>收割还田作业机</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国四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9台</w:t>
            </w:r>
            <w:r>
              <w:rPr>
                <w:rFonts w:ascii="仿宋_GB2312" w:hAnsi="仿宋_GB2312" w:cs="仿宋_GB2312" w:eastAsia="仿宋_GB2312"/>
                <w:sz w:val="24"/>
                <w:b/>
                <w:color w:val="000000"/>
              </w:rPr>
              <w:t>）</w:t>
            </w:r>
          </w:p>
          <w:p>
            <w:pPr>
              <w:pStyle w:val="null5"/>
              <w:jc w:val="left"/>
            </w:pPr>
            <w:r>
              <w:rPr>
                <w:rFonts w:ascii="仿宋_GB2312" w:hAnsi="仿宋_GB2312" w:cs="仿宋_GB2312" w:eastAsia="仿宋_GB2312"/>
                <w:sz w:val="24"/>
                <w:color w:val="000000"/>
              </w:rPr>
              <w:t>1、结构型式：轮式、摘穗、剥皮、秸秆还田</w:t>
            </w:r>
          </w:p>
          <w:p>
            <w:pPr>
              <w:pStyle w:val="null5"/>
              <w:jc w:val="left"/>
            </w:pPr>
            <w:r>
              <w:rPr>
                <w:rFonts w:ascii="仿宋_GB2312" w:hAnsi="仿宋_GB2312" w:cs="仿宋_GB2312" w:eastAsia="仿宋_GB2312"/>
                <w:sz w:val="24"/>
                <w:color w:val="000000"/>
              </w:rPr>
              <w:t>2、配套发动机结构型式：立式、直列、四冲程、电控高压共轨</w:t>
            </w:r>
          </w:p>
          <w:p>
            <w:pPr>
              <w:pStyle w:val="null5"/>
              <w:jc w:val="left"/>
            </w:pPr>
            <w:r>
              <w:rPr>
                <w:rFonts w:ascii="仿宋_GB2312" w:hAnsi="仿宋_GB2312" w:cs="仿宋_GB2312" w:eastAsia="仿宋_GB2312"/>
                <w:sz w:val="24"/>
                <w:color w:val="000000"/>
              </w:rPr>
              <w:t>3、配套发动机额定功率：≥176kW</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本项为实质性参数，不满足视为无效标</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4、配套发动机额定转速：≥2000r/min</w:t>
            </w:r>
          </w:p>
          <w:p>
            <w:pPr>
              <w:pStyle w:val="null5"/>
              <w:jc w:val="left"/>
            </w:pPr>
            <w:r>
              <w:rPr>
                <w:rFonts w:ascii="仿宋_GB2312" w:hAnsi="仿宋_GB2312" w:cs="仿宋_GB2312" w:eastAsia="仿宋_GB2312"/>
                <w:sz w:val="24"/>
                <w:color w:val="000000"/>
              </w:rPr>
              <w:t>5、整机外形尺寸（长×宽×高）：≥8900×3300×3500mm</w:t>
            </w:r>
          </w:p>
          <w:p>
            <w:pPr>
              <w:pStyle w:val="null5"/>
              <w:jc w:val="left"/>
            </w:pPr>
            <w:r>
              <w:rPr>
                <w:rFonts w:ascii="仿宋_GB2312" w:hAnsi="仿宋_GB2312" w:cs="仿宋_GB2312" w:eastAsia="仿宋_GB2312"/>
                <w:sz w:val="24"/>
                <w:color w:val="000000"/>
              </w:rPr>
              <w:t>6、工作行数（通道数）：≥8</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本项为实质性参数，不满足视为无效标</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7、行距：≥295mm</w:t>
            </w:r>
          </w:p>
          <w:p>
            <w:pPr>
              <w:pStyle w:val="null5"/>
              <w:jc w:val="left"/>
            </w:pPr>
            <w:r>
              <w:rPr>
                <w:rFonts w:ascii="仿宋_GB2312" w:hAnsi="仿宋_GB2312" w:cs="仿宋_GB2312" w:eastAsia="仿宋_GB2312"/>
                <w:sz w:val="24"/>
                <w:color w:val="000000"/>
              </w:rPr>
              <w:t>8、工作幅宽：≥2700mm</w:t>
            </w:r>
          </w:p>
          <w:p>
            <w:pPr>
              <w:pStyle w:val="null5"/>
              <w:jc w:val="left"/>
            </w:pPr>
            <w:r>
              <w:rPr>
                <w:rFonts w:ascii="仿宋_GB2312" w:hAnsi="仿宋_GB2312" w:cs="仿宋_GB2312" w:eastAsia="仿宋_GB2312"/>
                <w:sz w:val="24"/>
                <w:color w:val="000000"/>
              </w:rPr>
              <w:t>9、整机质量：≥10000kg</w:t>
            </w:r>
          </w:p>
          <w:p>
            <w:pPr>
              <w:pStyle w:val="null5"/>
              <w:jc w:val="left"/>
            </w:pPr>
            <w:r>
              <w:rPr>
                <w:rFonts w:ascii="仿宋_GB2312" w:hAnsi="仿宋_GB2312" w:cs="仿宋_GB2312" w:eastAsia="仿宋_GB2312"/>
                <w:sz w:val="24"/>
                <w:color w:val="000000"/>
              </w:rPr>
              <w:t>10、最小离地间隙：≥380mm</w:t>
            </w:r>
          </w:p>
          <w:p>
            <w:pPr>
              <w:pStyle w:val="null5"/>
              <w:jc w:val="left"/>
            </w:pPr>
            <w:r>
              <w:rPr>
                <w:rFonts w:ascii="仿宋_GB2312" w:hAnsi="仿宋_GB2312" w:cs="仿宋_GB2312" w:eastAsia="仿宋_GB2312"/>
                <w:sz w:val="24"/>
                <w:color w:val="000000"/>
              </w:rPr>
              <w:t>11、剥皮辊数量：≥20</w:t>
            </w:r>
          </w:p>
          <w:p>
            <w:pPr>
              <w:pStyle w:val="null5"/>
              <w:jc w:val="left"/>
            </w:pPr>
            <w:r>
              <w:rPr>
                <w:rFonts w:ascii="仿宋_GB2312" w:hAnsi="仿宋_GB2312" w:cs="仿宋_GB2312" w:eastAsia="仿宋_GB2312"/>
                <w:sz w:val="24"/>
                <w:color w:val="000000"/>
              </w:rPr>
              <w:t>12、割台型式：卧式</w:t>
            </w:r>
          </w:p>
          <w:p>
            <w:pPr>
              <w:pStyle w:val="null5"/>
              <w:jc w:val="left"/>
            </w:pPr>
            <w:r>
              <w:rPr>
                <w:rFonts w:ascii="仿宋_GB2312" w:hAnsi="仿宋_GB2312" w:cs="仿宋_GB2312" w:eastAsia="仿宋_GB2312"/>
                <w:sz w:val="24"/>
                <w:color w:val="000000"/>
              </w:rPr>
              <w:t>13、秸秆粉碎还田机构型式：甩刀式</w:t>
            </w:r>
          </w:p>
          <w:p>
            <w:pPr>
              <w:pStyle w:val="null5"/>
              <w:jc w:val="left"/>
            </w:pPr>
            <w:r>
              <w:rPr>
                <w:rFonts w:ascii="仿宋_GB2312" w:hAnsi="仿宋_GB2312" w:cs="仿宋_GB2312" w:eastAsia="仿宋_GB2312"/>
                <w:sz w:val="24"/>
                <w:color w:val="000000"/>
              </w:rPr>
              <w:t>14、变速结构型式：机械齿轮式</w:t>
            </w:r>
          </w:p>
          <w:p>
            <w:pPr>
              <w:pStyle w:val="null5"/>
              <w:jc w:val="left"/>
            </w:pPr>
            <w:r>
              <w:rPr>
                <w:rFonts w:ascii="仿宋_GB2312" w:hAnsi="仿宋_GB2312" w:cs="仿宋_GB2312" w:eastAsia="仿宋_GB2312"/>
                <w:sz w:val="24"/>
                <w:color w:val="000000"/>
              </w:rPr>
              <w:t>15、轴距：≥3200mm</w:t>
            </w:r>
          </w:p>
          <w:p>
            <w:pPr>
              <w:pStyle w:val="null5"/>
              <w:jc w:val="left"/>
            </w:pPr>
            <w:r>
              <w:rPr>
                <w:rFonts w:ascii="仿宋_GB2312" w:hAnsi="仿宋_GB2312" w:cs="仿宋_GB2312" w:eastAsia="仿宋_GB2312"/>
                <w:sz w:val="24"/>
                <w:color w:val="000000"/>
              </w:rPr>
              <w:t>16、导向轮轮距：≥1940mm</w:t>
            </w:r>
          </w:p>
          <w:p>
            <w:pPr>
              <w:pStyle w:val="null5"/>
              <w:jc w:val="left"/>
            </w:pPr>
            <w:r>
              <w:rPr>
                <w:rFonts w:ascii="仿宋_GB2312" w:hAnsi="仿宋_GB2312" w:cs="仿宋_GB2312" w:eastAsia="仿宋_GB2312"/>
                <w:sz w:val="24"/>
                <w:color w:val="000000"/>
              </w:rPr>
              <w:t>17、驱动轮轮距：≥1915mm</w:t>
            </w:r>
          </w:p>
          <w:p>
            <w:pPr>
              <w:pStyle w:val="null5"/>
              <w:jc w:val="left"/>
            </w:pPr>
            <w:r>
              <w:rPr>
                <w:rFonts w:ascii="仿宋_GB2312" w:hAnsi="仿宋_GB2312" w:cs="仿宋_GB2312" w:eastAsia="仿宋_GB2312"/>
                <w:sz w:val="24"/>
                <w:color w:val="000000"/>
              </w:rPr>
              <w:t>18、总损失率：≤3.5%</w:t>
            </w:r>
          </w:p>
          <w:p>
            <w:pPr>
              <w:pStyle w:val="null5"/>
              <w:jc w:val="left"/>
            </w:pPr>
            <w:r>
              <w:rPr>
                <w:rFonts w:ascii="仿宋_GB2312" w:hAnsi="仿宋_GB2312" w:cs="仿宋_GB2312" w:eastAsia="仿宋_GB2312"/>
                <w:sz w:val="24"/>
                <w:color w:val="000000"/>
              </w:rPr>
              <w:t>19、子粒破碎率：≤0.8%</w:t>
            </w:r>
          </w:p>
          <w:p>
            <w:pPr>
              <w:pStyle w:val="null5"/>
              <w:jc w:val="left"/>
            </w:pPr>
            <w:r>
              <w:rPr>
                <w:rFonts w:ascii="仿宋_GB2312" w:hAnsi="仿宋_GB2312" w:cs="仿宋_GB2312" w:eastAsia="仿宋_GB2312"/>
                <w:sz w:val="24"/>
                <w:b/>
                <w:color w:val="000000"/>
              </w:rPr>
              <w:t>五、核心产品</w:t>
            </w:r>
            <w:r>
              <w:rPr>
                <w:rFonts w:ascii="仿宋_GB2312" w:hAnsi="仿宋_GB2312" w:cs="仿宋_GB2312" w:eastAsia="仿宋_GB2312"/>
                <w:sz w:val="24"/>
                <w:b/>
                <w:color w:val="000000"/>
              </w:rPr>
              <w:t>(△)：两驱</w:t>
            </w:r>
            <w:r>
              <w:rPr>
                <w:rFonts w:ascii="仿宋_GB2312" w:hAnsi="仿宋_GB2312" w:cs="仿宋_GB2312" w:eastAsia="仿宋_GB2312"/>
                <w:sz w:val="24"/>
                <w:b/>
                <w:color w:val="000000"/>
              </w:rPr>
              <w:t>收割还田作业机</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国四</w:t>
            </w:r>
            <w:r>
              <w:rPr>
                <w:rFonts w:ascii="仿宋_GB2312" w:hAnsi="仿宋_GB2312" w:cs="仿宋_GB2312" w:eastAsia="仿宋_GB2312"/>
                <w:sz w:val="24"/>
                <w:b/>
                <w:color w:val="000000"/>
              </w:rPr>
              <w:t>）</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所投产品技术参数进行评审。实质性参数有一项不满足，视为无效标。其他技术参数每有一项不满足扣1分，扣完25分为止。（技术参数需要投标人提供检测报告，或鉴定证书，或技术白皮书，或说明书，或网站截图，或产品彩页或投标人认为需要提供的其他技术资料作为佐证材料）注：为防止误评或漏评，投标人尽量在其技术规格响应表中写明相应佐证材料的名称，并在佐证材料上使用下划线、文本框等方式加以明显标记。</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针对本项目制定项目实施方案，包括供货方案、安装调试方案、验收方案、进度保障措施等内容。①项目实施方案科学合理，方案详细完整，可行性强，拟派专业安装调试人员，验收计划和进度保证措施实际、可行，对本项目特点有针对性解决方案的得10分； ②项目实施方案科学合理，方案详细完整，有一定实施性，拟派专业安装调试人员，验收计划和进度保证措施相对合理，对本项目特点有针对性解决方案的得7分； ③项目实施方案基本合理，能有专业安装调试人员，验收计划和进度保证措施基本可行的得4分； ④未提供得0分。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障措施进行评审，质量保证措施（包括但不限于质量保证措施、验收方案、检查方法、质量保障承诺等）①质量保证措施整体内容描述清晰完整，切实可行的，完全符合项目采购项目实际需求的得10分；②质量保证措施整体内容描述比较清晰完整，合理性较强，具有较强可行性，能满足项目需求的得7分；③质量保证措施整体内容基本完整，条理清晰度一般，可操作性一般，能基本满足项目需求的得4分；④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的培训方案进行评审（方案内容包括但不限于生产厂商及投标人的技术支持、培训对象、培训计划、培训目的、培训的具体内容、培训服务形式等方面。）①培训方案完整详实、培训方案中培训计划、培训内容、培训人员及课时安排详实、可行性、针对性强的得5分；②培训方案较完整详实、培训方案中培训计划，培训内容、培训人员及课时安排较详实、可行性、针对性较强的得3分；③培训方案简单有缺陷、培训方案中培训计划，培训内容、培训人员及课时安排较差、可行性较差、针对性较差的得1分；④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根据投标人自2021年1月1日以来的同类项目业绩（农机销售类）进行评审，每提供一份业绩证明材料得2.5分，最多得10分； 注：投标文件中须提供合同原件扫描件（以合同签订时间为准，合同未填写时间不予计分）。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审，方案包括但不限于设备故障问题解决、正常巡检、终身维护、配件供应，明确相关负责人员，技术人员，现场服务条件及售后保障措施等。①售后服务方案详细、具体、周到，解决问题方案考虑全面，售后服务体系完全满足本次项目采购需求的得10分；②售后服务方案相对详细、具体、周到，解决问题方案考虑相对全面，有完善的售后服务体系相对满足本次项目采购需求的得7分；③售后服务方案基本详细、具体、周到，解决问题方案、售后服务体系基本满足本次项目采购需求的得4分；④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