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敖汉旗金厂沟梁镇石桥子村引水灌溉项目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敖汉旗金厂沟梁镇人民政府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内蒙古同策工程管理有限公司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CFZCAHS-C-G-250001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内蒙古同策工程管理有限公司</w:t>
      </w:r>
      <w:r>
        <w:rPr>
          <w:rFonts w:ascii="仿宋_GB2312" w:hAnsi="仿宋_GB2312" w:cs="仿宋_GB2312" w:eastAsia="仿宋_GB2312"/>
        </w:rPr>
        <w:t xml:space="preserve"> 受 </w:t>
      </w:r>
      <w:r>
        <w:rPr>
          <w:rFonts w:ascii="仿宋_GB2312" w:hAnsi="仿宋_GB2312" w:cs="仿宋_GB2312" w:eastAsia="仿宋_GB2312"/>
        </w:rPr>
        <w:t>敖汉旗金厂沟梁镇人民政府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敖汉旗金厂沟梁镇石桥子村引水灌溉项目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敖汉旗金厂沟梁镇石桥子村引水灌溉项目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CFZCAHS-C-G-250001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赤政采计划[2025]敖汉00002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865,751.00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敖汉旗金厂沟梁镇石桥子村引水灌溉项目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865,751.00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1、特定资格要求：（1）供应商须具备建设行政主管部门颁发的水利水电工程施工总承包叁级及以上资质证书； （2）须具有省、部级建设行政主管部门颁发的企业安全生产许可证； （3）现场管理机构组成人员：项目负责人具有水利水电专业贰级及以上注册建造师证、有效的B类安全生产考核合格证，项目负责人未在其他在施建设工程项目中任职；技术负责人（中级及以上水利水电相关专业职称）；拟投入本项目班子人员与本企业签订的合法有效劳动合同，劳动合同如有修改或行间插字，修改或行间插字处必须由甲方盖公章和乙方签字； （4）供应商企业为项目管理机构成员缴纳的2024年1月至投标截止日前至少3个月的养老保险信息 （加盖社保机构公章的养老保险缴纳个人明细，或对账单，或社保网页截图加盖单位公章，或有效退休证明）。 单位负责人为同一人或者存在直接控股、管理关系的不同供应商，不得参加同一合同项下的政府采购活动。</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内蒙古同策工程管理有限公司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西拉沐沦大街以北万达广场A地块1号楼01205</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周鹏伟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15771357527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敖汉旗金厂沟梁镇人民政府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金厂沟梁镇本街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于晓娟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15148315594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敖汉旗金厂沟梁镇人民政府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内蒙古同策工程管理有限公司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建设3.12公里的水渠，安装主阀门1个，分水阀门12个等。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标的提供的时间：合同签订后180个日历日内完工</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标的提供的地点：敖汉旗金厂沟梁镇石桥子村</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付款方式：按施工进度拨款，项目完成并通过采购人验收合格后，申请财政拨付，支付至合同价款的100%。施工方需在支付合同价款前缴纳合同价款的3%作为质量的保证金，缺陷责任期满无质量问题，无息返还。</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验收要求 ：达到国家质量验收标准并满足采购人要求。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履约保证金：不要求。</w:t>
            </w:r>
          </w:p>
        </w:tc>
      </w:tr>
      <w:tr>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其他：（1）采购上限价：本项目最高限价为 813805.94元（大写 捌拾壹万叁仟捌佰零伍元玖角肆分 ）（采购上限价说明 ：在财政评审价格下浮6%后），各响应供应商响应报价均不得超过最高限价 ，所有超出最高限价的报价为无效报价，视为无效投标；（2）磋商小组认为供应商的响应报价或最后报价明显低于其他通过符合性审查供应商的响应报价或最后报价，有可能影响工程质量或者不能诚信履约的，应当要求其在评审现 场合理的时间内提供书面说明，必要时提交相关证明材料；供应商不能证明其报价合理性的，磋商小组应当将其作为无效竞标处理。</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标的名称：敖汉旗金厂沟梁镇石桥子村引水灌溉项目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施工质量要求：符合国家及行业建设标准。</w:t>
            </w:r>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工程保修期为2年。保修期从竣工验收合格之日起算。质保期内所发生的一切质量问题，由施工单位免费进行修理或更换，并承担有关质量问题引起的赔偿费用。</w:t>
            </w:r>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成交施工单位在施工期间负责进场材料看护，出现丢失、损坏的自行赔付。成交施工单位不得将该工程分包、转包。在施工期间注重安全生产，严禁违规操作，如出现人身伤亡等安全事故由施工单位负责。</w:t>
            </w:r>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工程用大宗材料须经甲、乙双方共同采购，材料质量必须满足设计要求并检测合格方可用于本工程。其价格涨落风险由中标单位承担，竣工决算时不做调整。</w:t>
            </w:r>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施工要求：施工方保证所用机械器具符合国家行业标准规定要求。施工过程中，施工方必须严格按照图纸（如有）规定要求组织施工，本工程的施工和验收执行国家现行的相关规范。</w:t>
            </w:r>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由于工程变更和清单中工程量变化原因引起的合同价款调整方法：按实际情况，在已核实工程量的基础上，以成交施工单位的中标价与财政评审控制价已标价工程量清单的比值为系数对需要变更的项目进行价格调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1.供应商2023年度或2024年度经会计师事务所出具的财务审计报告； 2.供应商基本开户银行近一年内出具的银行资信证明； 3.供应商出具的“具有良好的商业信誉和健全的财务会计制度”的承诺书；（格式自拟）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供应商提供以下任意一种均可： 1.递交响应文件截止之日前一年内（至少一个月）的： （1）缴纳税收的相关凭据；（税务机关提供的纳税凭据或银行入账单） （2）缴纳社会保险的凭证；（专用收据或社会保险缴纳清单或其他缴纳凭证） 2.供应商出具的“具有依法缴纳税收和社会保障资金的良好记录”的承诺书；（格式自拟） 注：其他组织和自然人也需要提供缴纳税收的凭据。依法免税或不需要缴纳社会保障资金的供应商，应提供相应文件证明其依法免税或不需要缴纳社会保障资金。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审查供应商提供的具有履行合同所必需的设备和专业技术能力的书面声明。（格式自拟）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查询方式：（1）经“信用中国”网站查询的供应商未被列入“失信被执行人”、“重大税收违法失信主体”、“政府采购严重违法失信行为记录名单”的查询截图；（2）经“中国政府采购网”网站查询的供应商未被列入“政府采购严重违法失信行为记录名单”的查询截图。注：采购文件中的“重大税收违法案件当事人名单”、“税收违法黑名单”等同于“重大税收违法失信主体”。</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（1）供应商须具备建设行政主管部门颁发的水利水电工程施工总承包叁级及以上资质证书； （2）须具有省、部级建设行政主管部门颁发的企业安全生产许可证； （3）现场管理机构组成人员：项目负责人具有水利水电专业贰级及以上注册建造师证、有效的B类安全生产考核合格证，项目负责人未在其他在施建设工程项目中任职；技术负责人（中级及以上水利水电相关专业职称）；拟投入本项目班子人员与本企业签订的合法有效劳动合同，劳动合同如有修改或行间插字，修改或行间插字处必须由甲方盖公章和乙方签字； （4）供应商企业为项目管理机构成员缴纳的2024年1月至投标截止日前至少3个月的养老保险信息 （加盖社保机构公章的养老保险缴纳个人明细，或对账单，或社保网页截图加盖单位公章，或有效退休证明）。 单位负责人为同一人或者存在直接控股、管理关系的不同供应商，不得参加同一合同项下的政府采购活动。</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施工组织设计内容齐全，对工程整体有深刻认识，表述清晰完整，编制水平较高得12分；内容齐全，对工程整体有基本认识，表述基本清晰完整得6 分；内容不齐全，对工程整体认识不合理得1分；无此项内容得0分。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施工方案和技术措施合理，对关键工序和关键部位施工具有针对性方案措施得力、经济、安全、可行得9分；方案基本可行、技术措施基本有保障的得5分；施工方案不合理的得1分；无此项内容得0分。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质量管理体系与措施完善、科学合理的得9分；基本完善、较合理的得5分；不合理的得1分；无此项内容得0分。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具有安全管理体系及措施、现场文明施工、安全生产措施，落实具体、有效得9分；措施基本完善、内容较合理的得5分；不完善不合理的得1分；无此项内容得0分。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施工总体进度计划合理 (有施工进度网络计划图且科学、合理) ，对进度影响因素考虑全面，且有充分保障措施得9分；规划基本符合施工要求且较合理得5分；进度计划不科学、不合理得1分；无此项内容不得分。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投入的劳动力、机械设备、检测设备等计划合理，与进度计划呼应，优于施工的得9分；各方面配置充分满足项目需求得5分；不满足项目需求的得1分；无此项内容得0分。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冬季、雨季施工方案措施</w:t>
            </w:r>
          </w:p>
        </w:tc>
        <w:tc>
          <w:tcPr>
            <w:tcW w:type="dxa" w:w="3115"/>
          </w:tcPr>
          <w:p>
            <w:pPr>
              <w:pStyle w:val="null5"/>
              <w:jc w:val="left"/>
            </w:pPr>
            <w:r>
              <w:rPr>
                <w:rFonts w:ascii="仿宋_GB2312" w:hAnsi="仿宋_GB2312" w:cs="仿宋_GB2312" w:eastAsia="仿宋_GB2312"/>
              </w:rPr>
              <w:t>冬季、雨季施工方案措施得当的得8分，基本得当的得4分，不得当的得1分，无此项内容得0分。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供应商企业近三年 (2022年1月1日至今) 已完工的类似工程业绩每提供一项齐全有效的得5分，最多得15分。 注：需同时提供中标通知书（或直发包通知书或直发包备案表）和合同扫描件（以合同签订日期为准）。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