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敖汉旗自然保护区内矿业权退出补偿评估服务项目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敖汉旗自然资源局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久旺项目管理（内蒙古）有限公司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CFZCAHS-C-F-250008</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久旺项目管理（内蒙古）有限公司</w:t>
      </w:r>
      <w:r>
        <w:rPr>
          <w:rFonts w:ascii="仿宋_GB2312" w:hAnsi="仿宋_GB2312" w:cs="仿宋_GB2312" w:eastAsia="仿宋_GB2312"/>
        </w:rPr>
        <w:t xml:space="preserve"> 受 </w:t>
      </w:r>
      <w:r>
        <w:rPr>
          <w:rFonts w:ascii="仿宋_GB2312" w:hAnsi="仿宋_GB2312" w:cs="仿宋_GB2312" w:eastAsia="仿宋_GB2312"/>
        </w:rPr>
        <w:t>敖汉旗自然资源局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敖汉旗自然保护区内矿业权退出补偿评估服务项目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敖汉旗自然保护区内矿业权退出补偿评估服务项目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CFZCAHS-C-F-250008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赤政采计划[2025]敖汉00049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敖汉旗自然保护区内矿业权退出补偿评估服务项目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1、特定资格要求：①、审查供应商的资产评估资质和矿业权评估资质（供应商须同时具备资产评估资质和矿业权评估资质），不能同时具备的，可以组成联合体，联合体投标的规定： （1）本项目接受联合体投标，联合体成员不得超过2家。 （2）联合体各方应签订联合体协议书，明确联合体牵头方和各方权利义务； （3）联合体中有同类资质的成员方按照联合体分工承担同类工作的，按照资质等级较低的成员方确定资质等级。 （4）联合体各方不得再以自己名义单独或参加其他联合体在该项目中的投标。</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久旺项目管理（内蒙古）有限公司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内蒙古自治区赤峰市敖汉旗新惠镇新南街社区三楼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久旺项目管理（内蒙古）有限公司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0476-4400777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敖汉旗自然资源局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敖汉旗河东新区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0476-4320259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本次磋商活动招标代理费收费依据《国家发展改革委关于进一步放开建设项目专业服务价格的通知》发改价格[2015]299号文规定，实行市场调节价。收费金额参照内工建协[2022]34号“招标代理服务费“服务招标”收费标准”，以中标总价为基数，按差额定率累进法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敖汉旗自然资源局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久旺项目管理（内蒙古）有限公司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根据赤峰市人民政府关于印发《赤峰市自然保护区内矿业权退出补偿方案》的通知（赤政发〔2024〕8号）要求，敖汉旗人民政府公开选择评估公司对符合退出补偿条件的11家矿业权（8家探矿权、3家采矿权）矿山企业退出补偿进行评估（矿业权评估和资产评估），出具符合要求的报告成果，成果审核公示通过后给予相应补偿。最终补偿为矿山企业退出应补偿金额减去旗人民政府出资的地质环境治理费用后确定的合理补偿金额。</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合同签订后30日历天内完成（具体服务时间以实际情况为准)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1、采购人根据中标供应商完成的工作进度支付服务费用 。中标供应商提交评审通过的成果文件后，并经采购人验收合格，中标人提供 等额税务发票和齐备申请付款材料后支付服务费用，（具体付款比例及付款时 间以采购人在合同中约定的为准），达到付款条件起7日，支付合同总金额的100.00%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缴纳说明：不超过中标价格的10%。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标的名称：敖汉旗自然保护区内矿业权退出补偿评估服务项目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一、采购内容：</w:t>
            </w:r>
          </w:p>
          <w:p>
            <w:pPr>
              <w:pStyle w:val="null5"/>
              <w:jc w:val="left"/>
            </w:pPr>
            <w:r>
              <w:rPr>
                <w:rFonts w:ascii="仿宋_GB2312" w:hAnsi="仿宋_GB2312" w:cs="仿宋_GB2312" w:eastAsia="仿宋_GB2312"/>
              </w:rPr>
              <w:t>根据赤峰市人民政府关于印发《赤峰市自然保护区内矿业权退出补偿方案》的通知（赤政发〔2024〕8号）要求，公开选择评估公司依法依规对符合退出补偿条件的敖汉银亿矿业有限公司白杖子萤石矿、敖汉旗克力代矿业有限公司六道沟金矿、敖汉旗贝子府镇黄杖子萤石矿、内蒙古自治区敖汉旗二上营子铜多金属矿勘探、内蒙古自治区敖汉旗赵家窝铺铁矿详查、内蒙古自治区敖汉旗炮手营子金多金属矿普查、内蒙古自治区敖汉旗碾盘沟铁矿详查、内蒙古自治区敖汉旗刘家大院金多金属矿普查、内蒙古自治区敖汉旗贝子府金多金属矿勘探、内蒙古自治区敖汉旗宁杖子铁多金属矿详查、内蒙古自治区敖汉旗姜牙子沟铁多金属矿地质详查11家矿业权矿山企业退出补偿评估开展矿业权评估和资产评估，出具符合要求的报告成果。</w:t>
            </w:r>
          </w:p>
          <w:p>
            <w:pPr>
              <w:pStyle w:val="null5"/>
              <w:jc w:val="left"/>
            </w:pPr>
            <w:r>
              <w:rPr>
                <w:rFonts w:ascii="仿宋_GB2312" w:hAnsi="仿宋_GB2312" w:cs="仿宋_GB2312" w:eastAsia="仿宋_GB2312"/>
              </w:rPr>
              <w:t>二、评估范围：</w:t>
            </w:r>
          </w:p>
          <w:p>
            <w:pPr>
              <w:pStyle w:val="null5"/>
              <w:jc w:val="left"/>
            </w:pPr>
            <w:r>
              <w:rPr>
                <w:rFonts w:ascii="仿宋_GB2312" w:hAnsi="仿宋_GB2312" w:cs="仿宋_GB2312" w:eastAsia="仿宋_GB2312"/>
              </w:rPr>
              <w:t>1、探矿权：探矿权人勘查投入补偿，第三方中介机构依据国土资源部《关于地质矿产勘查投入核算范围的通知》( 国土资厅发〔2007〕150号)和《地质调查项目预算标准》(2010年版)要求的工作内容，根据现有勘查许可证证载范围，对有效的实物工作量，探矿权人提供的有关工作内容合同及所附的票据，认定勘查投入费用;无法提供票据或票据不齐全的,由第三方中介机构核定有效的实物工作量和投入资金，出具的报告作为核定勘查投入费用依据。由旗政府与退出的探矿权人充分协商，签订退出补偿协议。待市有关部门对该勘查区矿山地质环境恢复治理验收后由市、旗政府组织予以补偿。</w:t>
            </w:r>
          </w:p>
          <w:p>
            <w:pPr>
              <w:pStyle w:val="null5"/>
              <w:jc w:val="left"/>
            </w:pPr>
            <w:r>
              <w:rPr>
                <w:rFonts w:ascii="仿宋_GB2312" w:hAnsi="仿宋_GB2312" w:cs="仿宋_GB2312" w:eastAsia="仿宋_GB2312"/>
              </w:rPr>
              <w:t>2、采矿权：采矿权人矿山建设投入补偿，包括采选基础设施设备和采选工程投入，但不包括矿区范围之外的公路、水、电、通信等设施。矿山建设投入由第三方中介机构依据采矿权人提供的票据进行评估;无法提供票据或票据不齐全的由第三方中介机构核定实物工作量和投入资金，出具的报告作为核定矿山建设投入费用依据。由旗政府与退出的采矿权人充分协商，签订退出补偿协议。待市有关部门对该开采区矿山地质环境恢复治理验收后由市、旗政府组织予以补偿。</w:t>
            </w:r>
          </w:p>
          <w:p>
            <w:pPr>
              <w:pStyle w:val="null5"/>
              <w:jc w:val="left"/>
            </w:pPr>
            <w:r>
              <w:rPr>
                <w:rFonts w:ascii="仿宋_GB2312" w:hAnsi="仿宋_GB2312" w:cs="仿宋_GB2312" w:eastAsia="仿宋_GB2312"/>
              </w:rPr>
              <w:t>3、矿业权收益（价款）评估。</w:t>
            </w:r>
          </w:p>
          <w:p>
            <w:pPr>
              <w:pStyle w:val="null5"/>
              <w:jc w:val="left"/>
            </w:pPr>
            <w:r>
              <w:rPr>
                <w:rFonts w:ascii="仿宋_GB2312" w:hAnsi="仿宋_GB2312" w:cs="仿宋_GB2312" w:eastAsia="仿宋_GB2312"/>
              </w:rPr>
              <w:t>三、服务期及服务地点：</w:t>
            </w:r>
          </w:p>
          <w:p>
            <w:pPr>
              <w:pStyle w:val="null5"/>
              <w:jc w:val="left"/>
            </w:pPr>
            <w:r>
              <w:rPr>
                <w:rFonts w:ascii="仿宋_GB2312" w:hAnsi="仿宋_GB2312" w:cs="仿宋_GB2312" w:eastAsia="仿宋_GB2312"/>
              </w:rPr>
              <w:t>服务期：合同签订后30日历天内完成全部服务内容（具体服务时间以实际情况为准)。</w:t>
            </w:r>
          </w:p>
          <w:p>
            <w:pPr>
              <w:pStyle w:val="null5"/>
              <w:jc w:val="left"/>
            </w:pPr>
            <w:r>
              <w:rPr>
                <w:rFonts w:ascii="仿宋_GB2312" w:hAnsi="仿宋_GB2312" w:cs="仿宋_GB2312" w:eastAsia="仿宋_GB2312"/>
              </w:rPr>
              <w:t>服务地点：敖汉旗境内。</w:t>
            </w:r>
          </w:p>
          <w:p>
            <w:pPr>
              <w:pStyle w:val="null5"/>
              <w:jc w:val="left"/>
            </w:pPr>
            <w:r>
              <w:rPr>
                <w:rFonts w:ascii="仿宋_GB2312" w:hAnsi="仿宋_GB2312" w:cs="仿宋_GB2312" w:eastAsia="仿宋_GB2312"/>
              </w:rPr>
              <w:t>四、保密要求：</w:t>
            </w:r>
          </w:p>
          <w:p>
            <w:pPr>
              <w:pStyle w:val="null5"/>
              <w:jc w:val="left"/>
            </w:pPr>
            <w:r>
              <w:rPr>
                <w:rFonts w:ascii="仿宋_GB2312" w:hAnsi="仿宋_GB2312" w:cs="仿宋_GB2312" w:eastAsia="仿宋_GB2312"/>
              </w:rPr>
              <w:t>严格遵守相关保密条例，履行保密义务。成交供应商人员参与项目评估工作时应当  遵守国家有关法律、法规要求，对于涉及国家要求、商业要求的事项, 以及在评估工作中 知悉的工作要求，应当严格执行相关保密规定。保证本项目所有的资料及成果不得传递 给第三方;工作中作废的有关资料统一回收、保管并交采购人统一销毁处理;妥善保管、</w:t>
            </w:r>
          </w:p>
          <w:p>
            <w:pPr>
              <w:pStyle w:val="null5"/>
              <w:jc w:val="left"/>
            </w:pPr>
            <w:r>
              <w:rPr>
                <w:rFonts w:ascii="仿宋_GB2312" w:hAnsi="仿宋_GB2312" w:cs="仿宋_GB2312" w:eastAsia="仿宋_GB2312"/>
              </w:rPr>
              <w:t>保存成果工作，否则成交单位承担全部的经济和法律责任。</w:t>
            </w:r>
          </w:p>
          <w:p>
            <w:pPr>
              <w:pStyle w:val="null5"/>
              <w:jc w:val="left"/>
            </w:pPr>
            <w:r>
              <w:rPr>
                <w:rFonts w:ascii="仿宋_GB2312" w:hAnsi="仿宋_GB2312" w:cs="仿宋_GB2312" w:eastAsia="仿宋_GB2312"/>
              </w:rPr>
              <w:t>五、成果文件要求：</w:t>
            </w:r>
          </w:p>
          <w:p>
            <w:pPr>
              <w:pStyle w:val="null5"/>
              <w:jc w:val="left"/>
            </w:pPr>
            <w:r>
              <w:rPr>
                <w:rFonts w:ascii="仿宋_GB2312" w:hAnsi="仿宋_GB2312" w:cs="仿宋_GB2312" w:eastAsia="仿宋_GB2312"/>
              </w:rPr>
              <w:t>提交符合采购人要求的报告及相应的附图、附表、附件，成果需图文清楚，图面清晰，完整齐全，成果文件的纸质文档及电子文档数量应满足采购人的要求。</w:t>
            </w:r>
          </w:p>
          <w:p>
            <w:pPr>
              <w:pStyle w:val="null5"/>
              <w:jc w:val="left"/>
            </w:pPr>
            <w:r>
              <w:rPr>
                <w:rFonts w:ascii="仿宋_GB2312" w:hAnsi="仿宋_GB2312" w:cs="仿宋_GB2312" w:eastAsia="仿宋_GB2312"/>
              </w:rPr>
              <w:t>六、其他要求：</w:t>
            </w:r>
          </w:p>
          <w:p>
            <w:pPr>
              <w:pStyle w:val="null5"/>
              <w:jc w:val="left"/>
            </w:pPr>
            <w:r>
              <w:rPr>
                <w:rFonts w:ascii="仿宋_GB2312" w:hAnsi="仿宋_GB2312" w:cs="仿宋_GB2312" w:eastAsia="仿宋_GB2312"/>
              </w:rPr>
              <w:t>（1）供应商针对本项目所派服务人员在服务期间发生伤亡事故，或者服务过程中造 成第三人伤亡的，责任全部由供应商承担。</w:t>
            </w:r>
          </w:p>
          <w:p>
            <w:pPr>
              <w:pStyle w:val="null5"/>
              <w:jc w:val="left"/>
            </w:pPr>
            <w:r>
              <w:rPr>
                <w:rFonts w:ascii="仿宋_GB2312" w:hAnsi="仿宋_GB2312" w:cs="仿宋_GB2312" w:eastAsia="仿宋_GB2312"/>
              </w:rPr>
              <w:t>（2）采购人有权监督成交单位的服务过程，发现未按要求、标准执行作业或其他违 约情形，采购人将下达整改通知书，成交单位应在限期内整改，成交单位拒绝整改或经 三次整改仍未合格的，采购人有权解除合同，并由成交单位承担相关责任。</w:t>
            </w:r>
          </w:p>
          <w:p>
            <w:pPr>
              <w:pStyle w:val="null5"/>
              <w:jc w:val="left"/>
            </w:pPr>
            <w:r>
              <w:rPr>
                <w:rFonts w:ascii="仿宋_GB2312" w:hAnsi="仿宋_GB2312" w:cs="仿宋_GB2312" w:eastAsia="仿宋_GB2312"/>
              </w:rPr>
              <w:t>（3）成交单位按采购人的要求提供完成本项目所需的技术服务方案、人员、设备。</w:t>
            </w:r>
          </w:p>
          <w:p>
            <w:pPr>
              <w:pStyle w:val="null5"/>
              <w:jc w:val="left"/>
            </w:pPr>
            <w:r>
              <w:rPr>
                <w:rFonts w:ascii="仿宋_GB2312" w:hAnsi="仿宋_GB2312" w:cs="仿宋_GB2312" w:eastAsia="仿宋_GB2312"/>
              </w:rPr>
              <w:t>（4）其他采购需求未列明事项由采购人在政府采购合同中另行约定。</w:t>
            </w:r>
          </w:p>
          <w:p>
            <w:pPr>
              <w:pStyle w:val="null5"/>
              <w:jc w:val="left"/>
            </w:pPr>
            <w:r>
              <w:rPr>
                <w:rFonts w:ascii="仿宋_GB2312" w:hAnsi="仿宋_GB2312" w:cs="仿宋_GB2312" w:eastAsia="仿宋_GB2312"/>
              </w:rPr>
              <w:t>七、报价要求：</w:t>
            </w:r>
          </w:p>
          <w:p>
            <w:pPr>
              <w:pStyle w:val="null5"/>
              <w:jc w:val="left"/>
            </w:pPr>
            <w:r>
              <w:rPr>
                <w:rFonts w:ascii="仿宋_GB2312" w:hAnsi="仿宋_GB2312" w:cs="仿宋_GB2312" w:eastAsia="仿宋_GB2312"/>
              </w:rPr>
              <w:t>供应商报价包括供应商履约过程中的人工费、资料费、差旅费、管理费、利润等与  供应商履约本项目所需要的其他费用。供应商应根据本项目的实际情况，充分考虑不确 定性因素可能导致的风险自行报价。若因供应商原因造成的漏报、错报而导致本项目无 法履行的，由供应商负责，采购人不承担任何费用。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（1）供应商2022或2023年度经会计师事务所出具的财务审计报告； （2）供应商基本开户银行近一年内出具的银行资信证明； （3）供应商出具的“具有良好的商业信誉和健全的财务会计制度”声明函。（格式自拟并加盖供应商公章）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注：其他组织和自然人 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①、审查供应商的资产评估资质和矿业权评估资质（供应商须同时具备资产评估资质和矿业权评估资质），不能同时具备的，可以组成联合体，联合体投标的规定： （1）本项目接受联合体投标，联合体成员不得超过2家。 （2）联合体各方应签订联合体协议书，明确联合体牵头方和各方权利义务； （3）联合体中有同类资质的成员方按照联合体分工承担同类工作的，按照资质等级较低的成员方确定资质等级。 （4）联合体各方不得再以自己名义单独或参加其他联合体在该项目中的投标。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总体评估思路</w:t>
            </w:r>
          </w:p>
        </w:tc>
        <w:tc>
          <w:tcPr>
            <w:tcW w:type="dxa" w:w="3115"/>
          </w:tcPr>
          <w:p>
            <w:pPr>
              <w:pStyle w:val="null5"/>
              <w:jc w:val="left"/>
            </w:pPr>
            <w:r>
              <w:rPr>
                <w:rFonts w:ascii="仿宋_GB2312" w:hAnsi="仿宋_GB2312" w:cs="仿宋_GB2312" w:eastAsia="仿宋_GB2312"/>
              </w:rPr>
              <w:t>1、评估及技术路线正确，参考标准符合国家、地方和行业的规定，思路清晰的，得8-10分； 2、技术路线基本清晰、内容基本完善，得4-7分； 3、技术路线模糊、内容存在缺陷，得1-3分； 未提供或者技术参考不相符的不得分。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评估工作流程</w:t>
            </w:r>
          </w:p>
        </w:tc>
        <w:tc>
          <w:tcPr>
            <w:tcW w:type="dxa" w:w="3115"/>
          </w:tcPr>
          <w:p>
            <w:pPr>
              <w:pStyle w:val="null5"/>
              <w:jc w:val="left"/>
            </w:pPr>
            <w:r>
              <w:rPr>
                <w:rFonts w:ascii="仿宋_GB2312" w:hAnsi="仿宋_GB2312" w:cs="仿宋_GB2312" w:eastAsia="仿宋_GB2312"/>
              </w:rPr>
              <w:t>1、针对本项目工作流程安排有序、工作任务清晰具体，人员分工明确的，得8-10分； 2、工作流程安排基本合理、工作任务基本清晰、人员分工基本明确的，得4-7分； 3、工作流程有缺项，工作任务模糊、人员无具体分工的的，得1-3分； 无此项内容的不得分。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重点、难点分析及解决措施</w:t>
            </w:r>
          </w:p>
        </w:tc>
        <w:tc>
          <w:tcPr>
            <w:tcW w:type="dxa" w:w="3115"/>
          </w:tcPr>
          <w:p>
            <w:pPr>
              <w:pStyle w:val="null5"/>
              <w:jc w:val="left"/>
            </w:pPr>
            <w:r>
              <w:rPr>
                <w:rFonts w:ascii="仿宋_GB2312" w:hAnsi="仿宋_GB2312" w:cs="仿宋_GB2312" w:eastAsia="仿宋_GB2312"/>
              </w:rPr>
              <w:t>1、评估服务重点、难点分析清晰程度及解决措施可行性方案均描述祥尽，逻辑和条理清晰、理解正确、有利于项目实施的，得8-10分； 2、方案描述基本 清楚、逻辑基本清晰，提供的内容存在基本适用项目需求的，得5-7分， 3、方案描述一般、逻辑一般清晰，提供的内容存在一般适用项目需求的，得2-4分； 4、方案描述表述不清楚、逻辑不清晰，提供的内容存在不适用项目需求的，得0.5—1分； 未提供此项内容的不得分。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进度计划安排</w:t>
            </w:r>
          </w:p>
        </w:tc>
        <w:tc>
          <w:tcPr>
            <w:tcW w:type="dxa" w:w="3115"/>
          </w:tcPr>
          <w:p>
            <w:pPr>
              <w:pStyle w:val="null5"/>
              <w:jc w:val="left"/>
            </w:pPr>
            <w:r>
              <w:rPr>
                <w:rFonts w:ascii="仿宋_GB2312" w:hAnsi="仿宋_GB2312" w:cs="仿宋_GB2312" w:eastAsia="仿宋_GB2312"/>
              </w:rPr>
              <w:t>1、提供的评估进度计划及保证措施的科学性、可行性、合理性进行综合评审,有具体的进度计划及保障措施，且进度计划合理、保障措施得力可行的，得8-10分； 2、进度计划基本满足项目要求，保障措施基本可行的，得4-7分； 3、进度计划安排不合理，且措施不妥当的，得1-3分； 未提供此项内容的不得分。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服务质量保障措施</w:t>
            </w:r>
          </w:p>
        </w:tc>
        <w:tc>
          <w:tcPr>
            <w:tcW w:type="dxa" w:w="3115"/>
          </w:tcPr>
          <w:p>
            <w:pPr>
              <w:pStyle w:val="null5"/>
              <w:jc w:val="left"/>
            </w:pPr>
            <w:r>
              <w:rPr>
                <w:rFonts w:ascii="仿宋_GB2312" w:hAnsi="仿宋_GB2312" w:cs="仿宋_GB2312" w:eastAsia="仿宋_GB2312"/>
              </w:rPr>
              <w:t>1、对项目质量目标理解完全准确，措施得力可行，充分满足项目要求的，得8-10分； 2、对项目质量目标理解基本准确，措施可行，基本满足项目要求的，得4-7分； 3、对项目质量目标理解不充分、措施不妥当的，得1-3分； 未提供此项内容的不得分。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保密措施及方案</w:t>
            </w:r>
          </w:p>
        </w:tc>
        <w:tc>
          <w:tcPr>
            <w:tcW w:type="dxa" w:w="3115"/>
          </w:tcPr>
          <w:p>
            <w:pPr>
              <w:pStyle w:val="null5"/>
              <w:jc w:val="left"/>
            </w:pPr>
            <w:r>
              <w:rPr>
                <w:rFonts w:ascii="仿宋_GB2312" w:hAnsi="仿宋_GB2312" w:cs="仿宋_GB2312" w:eastAsia="仿宋_GB2312"/>
              </w:rPr>
              <w:t>1、针对本项目涉及相关资料有具体的保密制度和保密措施的，保密制度完善、保密措施得力可行的，得4—5分； 2、保密制度基本完善、保密措施基本可行的，得2—3分； 3、保密制度不完善、保密措施可行性低的，得1分； 未提供此项内容的不得分。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后续服务安排</w:t>
            </w:r>
          </w:p>
        </w:tc>
        <w:tc>
          <w:tcPr>
            <w:tcW w:type="dxa" w:w="3115"/>
          </w:tcPr>
          <w:p>
            <w:pPr>
              <w:pStyle w:val="null5"/>
              <w:jc w:val="left"/>
            </w:pPr>
            <w:r>
              <w:rPr>
                <w:rFonts w:ascii="仿宋_GB2312" w:hAnsi="仿宋_GB2312" w:cs="仿宋_GB2312" w:eastAsia="仿宋_GB2312"/>
              </w:rPr>
              <w:t>1、后续服务工作安排及承诺保障有力、措施完善切实可靠的得4—5分， 2、后续服务工作安排及承诺基本满足要求、保障措施基本完善的得2—3分； 3、后续服务工作安排及承诺可行性低，保障措施不完善的得1分； 无此项内容的不得分。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2022年2月1日至投标截止日完成过的资产评估或矿业权评估类似本项目业绩的，每提供一项资产评估或矿业权评估的，得5分，本项最高得10分（资产评估或矿业权评估业绩重复的业绩，只计算一项）。需提供中标通知书或合同关键页或验收证明，需将以上资料的复印件或扫描件（合同关键页至少包含项目名称页、合同内容页、签字盖章页）放进标书内，未提供或不全的不予计分。（时间以中标通知书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项目主要负责人</w:t>
            </w:r>
          </w:p>
        </w:tc>
        <w:tc>
          <w:tcPr>
            <w:tcW w:type="dxa" w:w="3115"/>
          </w:tcPr>
          <w:p>
            <w:pPr>
              <w:pStyle w:val="null5"/>
              <w:jc w:val="left"/>
            </w:pPr>
            <w:r>
              <w:rPr>
                <w:rFonts w:ascii="仿宋_GB2312" w:hAnsi="仿宋_GB2312" w:cs="仿宋_GB2312" w:eastAsia="仿宋_GB2312"/>
              </w:rPr>
              <w:t>1、拟派本项目负责人从事资产评估或矿业权评估工作均10年（含10年）以上的，得5分； 2、均5年（含5年）以上的，得3分； 3、均3年（含3年）的，得1分； 4、本项最高得5分，无此项内容的不得分。 以矿业权评估、资产评估师证书首次（初次）登记（注册） 日期为准。 提供项目管理机构所必须人员与投标企业签订合法有效的劳动合同，近一年社保缴费证明，供应商需提供社保机构出具的社保核定单及有效的社保缴费凭证（税票、花名册等），如有其它情况不能提供社保证明的，须提供相关有效证明材料。</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项目其他服务人员</w:t>
            </w:r>
          </w:p>
        </w:tc>
        <w:tc>
          <w:tcPr>
            <w:tcW w:type="dxa" w:w="3115"/>
          </w:tcPr>
          <w:p>
            <w:pPr>
              <w:pStyle w:val="null5"/>
              <w:jc w:val="left"/>
            </w:pPr>
            <w:r>
              <w:rPr>
                <w:rFonts w:ascii="仿宋_GB2312" w:hAnsi="仿宋_GB2312" w:cs="仿宋_GB2312" w:eastAsia="仿宋_GB2312"/>
              </w:rPr>
              <w:t>1、拟派本项目其他服务人员（除项目负责人）每有一人提供矿业权评估或资产评估师证书或高级职称证书（含副高级）的，得1分，本项最高累计得5分,同一人同时具备的证书不重复计算得分。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