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2025年度体育服务项目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通辽市足球运动中心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内蒙古弘博工程项目管理有限公司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TLSZCS-C-F-250022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内蒙古弘博工程项目管理有限公司</w:t>
      </w:r>
      <w:r>
        <w:rPr>
          <w:rFonts w:ascii="仿宋_GB2312" w:hAnsi="仿宋_GB2312" w:cs="仿宋_GB2312" w:eastAsia="仿宋_GB2312"/>
        </w:rPr>
        <w:t xml:space="preserve"> 受 </w:t>
      </w:r>
      <w:r>
        <w:rPr>
          <w:rFonts w:ascii="仿宋_GB2312" w:hAnsi="仿宋_GB2312" w:cs="仿宋_GB2312" w:eastAsia="仿宋_GB2312"/>
        </w:rPr>
        <w:t>通辽市足球运动中心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2025年度体育服务项目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2025年度体育服务项目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TLSZCS-C-F-250022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150500[2025]00320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2025年度体育服务项目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2,100,000.00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内蒙古弘博工程项目管理有限公司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内蒙古自治区通辽市通辽经济技术开发区欢乐河岸地块九-/-109</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王志敏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13847563900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通辽市足球运动中心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通辽市科尔沁区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18747508889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代理服务费收费标准：参照内工建协[2022]34号文件中载明的标准收取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通辽市足球运动中心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内蒙古弘博工程项目管理有限公司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2025年度体育服务项目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2025年3月15日至2025年11月30日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通辽市辖区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1、合同签订生效并具备实施条件后5个工作日内支付 预付款40%，达到付款条件起1日，支付合同总金额的40.00%</w:t>
            </w:r>
          </w:p>
          <w:p>
            <w:pPr>
              <w:pStyle w:val="null5"/>
              <w:jc w:val="left"/>
            </w:pPr>
            <w:r>
              <w:rPr>
                <w:rFonts w:ascii="仿宋_GB2312" w:hAnsi="仿宋_GB2312" w:cs="仿宋_GB2312" w:eastAsia="仿宋_GB2312"/>
              </w:rPr>
              <w:t>2、2025年6月1日支付20%，达到付款条件起1日，支付合同总金额的20.00%</w:t>
            </w:r>
          </w:p>
          <w:p>
            <w:pPr>
              <w:pStyle w:val="null5"/>
              <w:jc w:val="left"/>
            </w:pPr>
            <w:r>
              <w:rPr>
                <w:rFonts w:ascii="仿宋_GB2312" w:hAnsi="仿宋_GB2312" w:cs="仿宋_GB2312" w:eastAsia="仿宋_GB2312"/>
              </w:rPr>
              <w:t>3、2025年9月1日支付30%，达到付款条件起1日，支付合同总金额的30.00%</w:t>
            </w:r>
          </w:p>
          <w:p>
            <w:pPr>
              <w:pStyle w:val="null5"/>
              <w:jc w:val="left"/>
            </w:pPr>
            <w:r>
              <w:rPr>
                <w:rFonts w:ascii="仿宋_GB2312" w:hAnsi="仿宋_GB2312" w:cs="仿宋_GB2312" w:eastAsia="仿宋_GB2312"/>
              </w:rPr>
              <w:t>4、项目完成验收合格后支付10%（预计为2025年11月30日），达到付款条件起1日，支付合同总金额的10.00%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人在投标文件中响应并得到相应加分，但在实施过程中未履约的，中标人依法承担赔偿责任处中标项目金额千分之五以上千分之十以下的罚款，如中标人未改正，实施过程中仍然未履约，采购人有权终止采购合同，中标人需承担违约责任并赔偿给招标人造成的一切经济损失。</w:t>
              <w:br/>
              <w:t xml:space="preserve"> 投标人中标后不得随意更换拟派本项目人员，确需更换的必须向采购人提出书面申请并详细说明更换的原因，经采购人同意后，方可更换，替换人员在资格、信誉等方面与变更前项目人员一致。</w:t>
            </w:r>
          </w:p>
        </w:tc>
      </w:tr>
      <w:tr>
        <w:tc>
          <w:tcPr>
            <w:tcW w:type="dxa" w:w="2076"/>
          </w:tcPr>
          <w:p>
            <w:pPr>
              <w:pStyle w:val="null5"/>
              <w:jc w:val="left"/>
            </w:pPr>
            <w:r>
              <w:rPr>
                <w:rFonts w:ascii="仿宋_GB2312" w:hAnsi="仿宋_GB2312" w:cs="仿宋_GB2312" w:eastAsia="仿宋_GB2312"/>
              </w:rPr>
              <w:t>6</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签署合同前，采购人核验中标人拟派人员证书及资质要求，如与投标资料不符，取消中标资格，按提供虚假材料处理。</w:t>
            </w:r>
          </w:p>
        </w:tc>
      </w:tr>
      <w:tr>
        <w:tc>
          <w:tcPr>
            <w:tcW w:type="dxa" w:w="2076"/>
          </w:tcPr>
          <w:p>
            <w:pPr>
              <w:pStyle w:val="null5"/>
              <w:jc w:val="left"/>
            </w:pPr>
            <w:r>
              <w:rPr>
                <w:rFonts w:ascii="仿宋_GB2312" w:hAnsi="仿宋_GB2312" w:cs="仿宋_GB2312" w:eastAsia="仿宋_GB2312"/>
              </w:rPr>
              <w:t>7</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政采贷政策: 为支持和促进中小企业发展，切实解决企业融资难问题，政府采购项目已开通合同融资渠道，供应商中标后可通过中标合同向相关银行发起无抵押无担保融资申请，银行根据企业中标信息发放贷款，帮助企业解决融资问题。相关资料可查阅：http://39.104.85.103/zcdservice/zcd/neimeng。</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标的名称：2025年度体育服务项目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8"/>
              </w:rPr>
              <w:t>1.教练员每天对通辽市辖区内十所学校十个通辽市精英训练营足球队伍的日常训练、按照要求带队参赛，并取得相应成绩。</w:t>
            </w:r>
          </w:p>
          <w:p>
            <w:pPr>
              <w:pStyle w:val="null5"/>
              <w:jc w:val="both"/>
            </w:pPr>
            <w:r>
              <w:rPr>
                <w:rFonts w:ascii="仿宋_GB2312" w:hAnsi="仿宋_GB2312" w:cs="仿宋_GB2312" w:eastAsia="仿宋_GB2312"/>
                <w:sz w:val="28"/>
              </w:rPr>
              <w:t>2.</w:t>
            </w:r>
            <w:r>
              <w:rPr>
                <w:rFonts w:ascii="仿宋_GB2312" w:hAnsi="仿宋_GB2312" w:cs="仿宋_GB2312" w:eastAsia="仿宋_GB2312"/>
                <w:sz w:val="28"/>
              </w:rPr>
              <w:t>需提供本次体育服务每支队伍所需专业教练员不少于</w:t>
            </w:r>
            <w:r>
              <w:rPr>
                <w:rFonts w:ascii="仿宋_GB2312" w:hAnsi="仿宋_GB2312" w:cs="仿宋_GB2312" w:eastAsia="仿宋_GB2312"/>
                <w:sz w:val="28"/>
              </w:rPr>
              <w:t>1人、训练教辅人员每支队伍不少于2人。（为保证训练质量及训练时间安排，每支队伍教练员及训练教辅人员固定不变，不得擅自相互串岗、脱岗或离岗）</w:t>
            </w:r>
          </w:p>
          <w:p>
            <w:pPr>
              <w:pStyle w:val="null5"/>
              <w:jc w:val="both"/>
            </w:pPr>
            <w:r>
              <w:rPr>
                <w:rFonts w:ascii="仿宋_GB2312" w:hAnsi="仿宋_GB2312" w:cs="仿宋_GB2312" w:eastAsia="仿宋_GB2312"/>
                <w:sz w:val="28"/>
              </w:rPr>
              <w:t>3.</w:t>
            </w:r>
            <w:r>
              <w:rPr>
                <w:rFonts w:ascii="仿宋_GB2312" w:hAnsi="仿宋_GB2312" w:cs="仿宋_GB2312" w:eastAsia="仿宋_GB2312"/>
                <w:sz w:val="28"/>
              </w:rPr>
              <w:t>要求教练员执教经验丰富、执教水平及执教成绩突出，身体健康，品行正直。教练员具有足球教练员相关资质，具有</w:t>
            </w:r>
            <w:r>
              <w:rPr>
                <w:rFonts w:ascii="仿宋_GB2312" w:hAnsi="仿宋_GB2312" w:cs="仿宋_GB2312" w:eastAsia="仿宋_GB2312"/>
                <w:sz w:val="28"/>
              </w:rPr>
              <w:t>2</w:t>
            </w:r>
            <w:r>
              <w:rPr>
                <w:rFonts w:ascii="仿宋_GB2312" w:hAnsi="仿宋_GB2312" w:cs="仿宋_GB2312" w:eastAsia="仿宋_GB2312"/>
                <w:sz w:val="28"/>
              </w:rPr>
              <w:t>年以上带队经验。</w:t>
            </w:r>
          </w:p>
          <w:p>
            <w:pPr>
              <w:pStyle w:val="null5"/>
              <w:jc w:val="both"/>
            </w:pPr>
            <w:r>
              <w:rPr>
                <w:rFonts w:ascii="仿宋_GB2312" w:hAnsi="仿宋_GB2312" w:cs="仿宋_GB2312" w:eastAsia="仿宋_GB2312"/>
                <w:sz w:val="28"/>
              </w:rPr>
              <w:t>4.</w:t>
            </w:r>
            <w:r>
              <w:rPr>
                <w:rFonts w:ascii="仿宋_GB2312" w:hAnsi="仿宋_GB2312" w:cs="仿宋_GB2312" w:eastAsia="仿宋_GB2312"/>
                <w:sz w:val="28"/>
              </w:rPr>
              <w:t>提供的教练员、教辅人员必须服从采购人安排，遵守采购人作息时间及各项规章制度，负责运动员的日常管理、训练工作并按时制定参赛目标、积极完成与采购人签订的比赛任务，并接受采购人绩效考评。</w:t>
            </w:r>
          </w:p>
          <w:p>
            <w:pPr>
              <w:pStyle w:val="null5"/>
              <w:jc w:val="both"/>
            </w:pPr>
            <w:r>
              <w:rPr>
                <w:rFonts w:ascii="仿宋_GB2312" w:hAnsi="仿宋_GB2312" w:cs="仿宋_GB2312" w:eastAsia="仿宋_GB2312"/>
                <w:sz w:val="28"/>
              </w:rPr>
              <w:t>5.</w:t>
            </w:r>
            <w:r>
              <w:rPr>
                <w:rFonts w:ascii="仿宋_GB2312" w:hAnsi="仿宋_GB2312" w:cs="仿宋_GB2312" w:eastAsia="仿宋_GB2312"/>
                <w:sz w:val="28"/>
              </w:rPr>
              <w:t>选拔参赛学员，并为参赛学员提供全过程执教服务，科学训练，并制定应急预案，配合采购人进行学员管理，保证学员训练安全。</w:t>
            </w:r>
          </w:p>
          <w:p>
            <w:pPr>
              <w:pStyle w:val="null5"/>
              <w:jc w:val="both"/>
            </w:pPr>
            <w:r>
              <w:rPr>
                <w:rFonts w:ascii="仿宋_GB2312" w:hAnsi="仿宋_GB2312" w:cs="仿宋_GB2312" w:eastAsia="仿宋_GB2312"/>
                <w:sz w:val="28"/>
              </w:rPr>
              <w:t>6.</w:t>
            </w:r>
            <w:r>
              <w:rPr>
                <w:rFonts w:ascii="仿宋_GB2312" w:hAnsi="仿宋_GB2312" w:cs="仿宋_GB2312" w:eastAsia="仿宋_GB2312"/>
                <w:sz w:val="28"/>
              </w:rPr>
              <w:t>供应商需无条件响应采购人提出的与本项目有关的其他合理要求，提供书面承诺函。</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技术部分45.00分</w:t>
            </w:r>
          </w:p>
          <w:p>
            <w:pPr>
              <w:pStyle w:val="null5"/>
              <w:jc w:val="left"/>
            </w:pPr>
            <w:r>
              <w:rPr>
                <w:rFonts w:ascii="仿宋_GB2312" w:hAnsi="仿宋_GB2312" w:cs="仿宋_GB2312" w:eastAsia="仿宋_GB2312"/>
              </w:rPr>
              <w:t>商务部分45.00分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服务方案与项目需求匹配度高，方案考虑周全完整、详细、表述清晰完整，得10分；服务方案与项目需求匹配度一般，方案基本合理可行、表述完整，得7分；服务方案与项目需求匹配度较低，方案存在漏洞、表述简单，得4分；服务方案严重欠缺、不合理或未提供方案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学员训练质量管理及保障措施</w:t>
            </w:r>
          </w:p>
        </w:tc>
        <w:tc>
          <w:tcPr>
            <w:tcW w:type="dxa" w:w="3115"/>
          </w:tcPr>
          <w:p>
            <w:pPr>
              <w:pStyle w:val="null5"/>
              <w:jc w:val="left"/>
            </w:pPr>
            <w:r>
              <w:rPr>
                <w:rFonts w:ascii="仿宋_GB2312" w:hAnsi="仿宋_GB2312" w:cs="仿宋_GB2312" w:eastAsia="仿宋_GB2312"/>
              </w:rPr>
              <w:t>学员训练质量管理及保障措施完善、可行性强的10分；基本完善、基本可行的7分；措施一般、内容空洞、可行性差的4分；无此项0分。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学员训练安全管理及保障措施</w:t>
            </w:r>
          </w:p>
        </w:tc>
        <w:tc>
          <w:tcPr>
            <w:tcW w:type="dxa" w:w="3115"/>
          </w:tcPr>
          <w:p>
            <w:pPr>
              <w:pStyle w:val="null5"/>
              <w:jc w:val="left"/>
            </w:pPr>
            <w:r>
              <w:rPr>
                <w:rFonts w:ascii="仿宋_GB2312" w:hAnsi="仿宋_GB2312" w:cs="仿宋_GB2312" w:eastAsia="仿宋_GB2312"/>
              </w:rPr>
              <w:t>学员训练安全管理及保障措施完善、可行性强的10分；基本完善、基本可行的7分；措施一般、内容空洞、可行性差的4分；无此项0分。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针对项目可能出现的特殊、突发情况，做出具有针对性的应急方案。应急预案完整且科学合理的得5分；应急预案基本科学合理的得3分；应急预案内容一般、可行性差的1分；无此项0分。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根据本项目需求做出服务承诺，内容完整、合理的，得5分；内容较为完整、较为合理的得3分；方案内容不完整、合理性差得1分；无此项0分。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服务团队</w:t>
            </w:r>
          </w:p>
        </w:tc>
        <w:tc>
          <w:tcPr>
            <w:tcW w:type="dxa" w:w="3115"/>
          </w:tcPr>
          <w:p>
            <w:pPr>
              <w:pStyle w:val="null5"/>
              <w:jc w:val="left"/>
            </w:pPr>
            <w:r>
              <w:rPr>
                <w:rFonts w:ascii="仿宋_GB2312" w:hAnsi="仿宋_GB2312" w:cs="仿宋_GB2312" w:eastAsia="仿宋_GB2312"/>
              </w:rPr>
              <w:t>根据供应商提供的服务团队人员的配备情况、岗位及责任分工情况、人员经验及资质情况综合打分。人员配备充足且具有科学性合理性的得5分；人员配备可以较好的支撑项目开展的得3分；人员配备内容不完整、合理性差得1分；无此项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提供近三年（2022年3月～开标当日，以合同签订日期为准）类似业绩证明材料，每提供一个加3分，满分6分。（提供中标通知书或合同原件扫描件得分）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w:t>
            </w:r>
          </w:p>
        </w:tc>
        <w:tc>
          <w:tcPr>
            <w:tcW w:type="dxa" w:w="3115"/>
          </w:tcPr>
          <w:p>
            <w:pPr>
              <w:pStyle w:val="null5"/>
              <w:jc w:val="left"/>
            </w:pPr>
            <w:r>
              <w:rPr>
                <w:rFonts w:ascii="仿宋_GB2312" w:hAnsi="仿宋_GB2312" w:cs="仿宋_GB2312" w:eastAsia="仿宋_GB2312"/>
              </w:rPr>
              <w:t>拟派本项目负责人具有持A级及以上教练证得5分,具有持B级教练证得3分，具有持C级教练证得2分,具有持D级教练证得1分,具有持E级教练证得0.5分。（提供教练证书原件扫描件及劳动合同得分。） 注：如同一人获得多种证书已得分最高证书为准，其他证书不再重复计分。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项目组成人员</w:t>
            </w:r>
          </w:p>
        </w:tc>
        <w:tc>
          <w:tcPr>
            <w:tcW w:type="dxa" w:w="3115"/>
          </w:tcPr>
          <w:p>
            <w:pPr>
              <w:pStyle w:val="null5"/>
              <w:jc w:val="left"/>
            </w:pPr>
            <w:r>
              <w:rPr>
                <w:rFonts w:ascii="仿宋_GB2312" w:hAnsi="仿宋_GB2312" w:cs="仿宋_GB2312" w:eastAsia="仿宋_GB2312"/>
              </w:rPr>
              <w:t>拟派本项目人员（除项目负责人外）每名教练员具有持A级及以上教练证得5分,具有持B级教练证得3分，具有持C级教练证得2分,具有持D级教练证得1分,具有持E级教练证得0.5分。最多得25分。（提供教练证书原件扫描件及劳动合同得分。） 注：如同一人获得多种证书已得分最高证书为准，其他证书不再重复计分。</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服务期</w:t>
            </w:r>
          </w:p>
        </w:tc>
        <w:tc>
          <w:tcPr>
            <w:tcW w:type="dxa" w:w="3115"/>
          </w:tcPr>
          <w:p>
            <w:pPr>
              <w:pStyle w:val="null5"/>
              <w:jc w:val="left"/>
            </w:pPr>
            <w:r>
              <w:rPr>
                <w:rFonts w:ascii="仿宋_GB2312" w:hAnsi="仿宋_GB2312" w:cs="仿宋_GB2312" w:eastAsia="仿宋_GB2312"/>
              </w:rPr>
              <w:t>服务期满后每增加服务一个月加3分，最多得9分。（以服务期承诺书中服务期限为准，格式自拟。未提供承诺书不得分。）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