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科尔沁区陆港型物流枢纽项目前期工作</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通辽市科尔沁区发展和改革委员会</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内蒙古睿广建设项目管理有限公司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KEQQZCS-G-F-250018</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内蒙古睿广建设项目管理有限公司</w:t>
      </w:r>
      <w:r>
        <w:rPr>
          <w:rFonts w:ascii="仿宋_GB2312" w:hAnsi="仿宋_GB2312" w:cs="仿宋_GB2312" w:eastAsia="仿宋_GB2312"/>
        </w:rPr>
        <w:t xml:space="preserve"> 受 </w:t>
      </w:r>
      <w:r>
        <w:rPr>
          <w:rFonts w:ascii="仿宋_GB2312" w:hAnsi="仿宋_GB2312" w:cs="仿宋_GB2312" w:eastAsia="仿宋_GB2312"/>
        </w:rPr>
        <w:t>通辽市科尔沁区发展和改革委员会</w:t>
      </w:r>
      <w:r>
        <w:rPr>
          <w:rFonts w:ascii="仿宋_GB2312" w:hAnsi="仿宋_GB2312" w:cs="仿宋_GB2312" w:eastAsia="仿宋_GB2312"/>
        </w:rPr>
        <w:t xml:space="preserve"> 委托，采用公开招标方式组织采购 </w:t>
      </w:r>
      <w:r>
        <w:rPr>
          <w:rFonts w:ascii="仿宋_GB2312" w:hAnsi="仿宋_GB2312" w:cs="仿宋_GB2312" w:eastAsia="仿宋_GB2312"/>
        </w:rPr>
        <w:t>科尔沁区陆港型物流枢纽项目前期工作</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科尔沁区陆港型物流枢纽项目前期工作</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KEQQZCS-G-F-250018</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150502[2025]00175</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3,540,000.00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科尔沁区陆港型物流枢纽项目前期工作</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3,540,000.00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1、资格要求：(1)供应商须同时具备行政主管部门颁发的城乡规划编制资质证书乙级（含乙级）及以上。 (2)拟投入的项目负责人须具备国家注册城乡规划师。应附身份证、国家注册城乡规划师证书、社保证明的扫描件(如有其它情况不能提供社保证明的，须提供相关有效证明材料）</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内蒙古睿广建设项目管理有限公司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内蒙古自治区呼和浩特市新城区科尔沁快速路与南店街交汇处绿地新都汇智海大厦A4号楼1203室</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010010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马越</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15764756055</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通辽市科尔沁区发展和改革委员会</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内蒙古通辽市霍林河大街908号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028000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韩艳平</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18648511109</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代理服务费收费标准：按照内工建协[2022]34号文件中载明的标准收取</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本项目可兼投1包，本项目可兼中1包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通辽市科尔沁区发展和改革委员会</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内蒙古睿广建设项目管理有限公司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税收违法黑名单、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供应商在投标(响应)时，按照通辽市财政局关于印发《通辽市政府采购“双向承诺+信用管理”工作方案》的通知（通财购〔2023〕195号）文件规定，提供《通辽市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供应商在投标(响应)时，按照通辽市财政局关于印发《通辽市政府采购“双向承诺+信用管理”工作方案》的通知（通财购〔2023〕195号）文件规定，提供《通辽市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供应商在投标(响应)时，按照通辽市财政局关于印发《通辽市政府采购“双向承诺+信用管理”工作方案》的通知（通财购〔2023〕195号）文件规定，提供《通辽市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供应商在投标(响应)时，按照通辽市财政局关于印发《通辽市政府采购“双向承诺+信用管理”工作方案》的通知（通财购〔2023〕195号）文件规定，提供《通辽市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供应商在投标(响应)时，按照通辽市财政局关于印发《通辽市政府采购“双向承诺+信用管理”工作方案》的通知（通财购〔2023〕195号）文件规定，提供《通辽市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资格要求</w:t>
            </w:r>
          </w:p>
        </w:tc>
        <w:tc>
          <w:tcPr>
            <w:tcW w:type="dxa" w:w="4984"/>
          </w:tcPr>
          <w:p>
            <w:pPr>
              <w:pStyle w:val="null5"/>
              <w:jc w:val="left"/>
            </w:pPr>
            <w:r>
              <w:rPr>
                <w:rFonts w:ascii="仿宋_GB2312" w:hAnsi="仿宋_GB2312" w:cs="仿宋_GB2312" w:eastAsia="仿宋_GB2312"/>
              </w:rPr>
              <w:t>(1)供应商须同时具备行政主管部门颁发的城乡规划编制资质证书乙级（含乙级）及以上。 (2)拟投入的项目负责人须具备国家注册城乡规划师。应附身份证、国家注册城乡规划师证书、社保证明的扫描件(如有其它情况不能提供社保证明的，须提供相关有效证明材料）</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编辑科尔沁区物流园区整体布局规划纲要、科尔沁区城东公铁联运物流园规划方案、通辽科尔沁工业园区交通网络规划方案、科尔沁区冷链物流规划纲要。</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3月20日前完成全部工作</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通辽市辖区内</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1、合同签订后（预付款），达到付款条件起30日，支付合同总金额的70.00%</w:t>
            </w:r>
          </w:p>
          <w:p>
            <w:pPr>
              <w:pStyle w:val="null5"/>
              <w:jc w:val="left"/>
            </w:pPr>
            <w:r>
              <w:rPr>
                <w:rFonts w:ascii="仿宋_GB2312" w:hAnsi="仿宋_GB2312" w:cs="仿宋_GB2312" w:eastAsia="仿宋_GB2312"/>
              </w:rPr>
              <w:t>2、成果文件全部交付，验收合格后，达到付款条件起30日，支付合同总金额的30.00%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需要缴纳履约保证金：null</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标的名称：科尔沁区陆港型物流枢纽项目前期工作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ind w:firstLine="240"/>
              <w:jc w:val="both"/>
            </w:pPr>
            <w:r>
              <w:rPr>
                <w:rFonts w:ascii="仿宋_GB2312" w:hAnsi="仿宋_GB2312" w:cs="仿宋_GB2312" w:eastAsia="仿宋_GB2312"/>
                <w:sz w:val="24"/>
              </w:rPr>
              <w:t>对现状深入调研和分析的基础上，明确核心区总体结构和功能布局、初步详细设计方案，深入研究陆港型物流枢纽所具备的区位要素和核心资源，梳理和挖掘区域竞</w:t>
            </w:r>
            <w:r>
              <w:rPr>
                <w:rFonts w:ascii="仿宋_GB2312" w:hAnsi="仿宋_GB2312" w:cs="仿宋_GB2312" w:eastAsia="仿宋_GB2312"/>
                <w:sz w:val="24"/>
              </w:rPr>
              <w:t>争优势，明确地区发展优势劣势和限制条件，为功能定位，开发策略与结构布局等提供依据。</w:t>
            </w:r>
          </w:p>
          <w:p>
            <w:pPr>
              <w:pStyle w:val="null5"/>
              <w:jc w:val="both"/>
            </w:pPr>
            <w:r>
              <w:rPr>
                <w:rFonts w:ascii="仿宋_GB2312" w:hAnsi="仿宋_GB2312" w:cs="仿宋_GB2312" w:eastAsia="仿宋_GB2312"/>
                <w:sz w:val="24"/>
              </w:rPr>
              <w:t>从现状交通存在的问题与短板出发，结合未来整体交通发展，明确交通发展目标，构建刚弹结合的交通发展策略。</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发展趋势理解及分析方案</w:t>
            </w:r>
          </w:p>
        </w:tc>
        <w:tc>
          <w:tcPr>
            <w:tcW w:type="dxa" w:w="3115"/>
          </w:tcPr>
          <w:p>
            <w:pPr>
              <w:pStyle w:val="null5"/>
              <w:jc w:val="left"/>
            </w:pPr>
            <w:r>
              <w:rPr>
                <w:rFonts w:ascii="仿宋_GB2312" w:hAnsi="仿宋_GB2312" w:cs="仿宋_GB2312" w:eastAsia="仿宋_GB2312"/>
              </w:rPr>
              <w:t>根据供应商对本项目的理解程度，项目发展背景及趋势理解、上位规划及政策、项目发展路径等分析研究。对项目特点的认识和理解，能把握其重点、难点并给出有效的处理方法。1、充分的了解近年来物流枢纽的发展趋势，对本地区物流枢纽发展的现状、形式、存在问题有清晰准确分析方案，得15分；2、较好的了解近年来物流枢纽的发展趋势，对本地区物流产业发展的现状、形式、存在问题有较清晰准确分析方案，得10分；3、一般了解近年来物流枢纽的发展趋势，对本地区物流枢纽发展的现状、形式、存在问题基本清晰准确分析方案，得5分；4、对于近年来物流枢纽的发展趋势和本地区物流枢纽发展的现状、形式、存在问题无清晰准确分析方案，得1分；5、不提供，得0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用地布局方案</w:t>
            </w:r>
          </w:p>
        </w:tc>
        <w:tc>
          <w:tcPr>
            <w:tcW w:type="dxa" w:w="3115"/>
          </w:tcPr>
          <w:p>
            <w:pPr>
              <w:pStyle w:val="null5"/>
              <w:jc w:val="left"/>
            </w:pPr>
            <w:r>
              <w:rPr>
                <w:rFonts w:ascii="仿宋_GB2312" w:hAnsi="仿宋_GB2312" w:cs="仿宋_GB2312" w:eastAsia="仿宋_GB2312"/>
              </w:rPr>
              <w:t>提供包括但不限于：明确整体建设思路与发展策略，针对空间布局与土地利用等系统进行控制。1、方案有针对性，可操作性强，得12分；2、方案有一定针对性，可操作性一般，得7分；3、方案一般，可操作性较差，得2分。4、不提供，得0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规划设计技术方案</w:t>
            </w:r>
          </w:p>
        </w:tc>
        <w:tc>
          <w:tcPr>
            <w:tcW w:type="dxa" w:w="3115"/>
          </w:tcPr>
          <w:p>
            <w:pPr>
              <w:pStyle w:val="null5"/>
              <w:jc w:val="left"/>
            </w:pPr>
            <w:r>
              <w:rPr>
                <w:rFonts w:ascii="仿宋_GB2312" w:hAnsi="仿宋_GB2312" w:cs="仿宋_GB2312" w:eastAsia="仿宋_GB2312"/>
              </w:rPr>
              <w:t>（1）方案理解非常深入、全面、正确，目标任务非常明确，设计思路非常先进合理，得10分；方案理解较为深入、全面、正确，目标任务较为明确，设计思路较为先进合理，得5分；方案理解一般深入、全面、正确，目标任务一般明确，设计思路一般先进合理，得2分；未提供的不得分。 （2）对规划编制的重点、难点进行分析总结，并有针对性的提出对策和解决思路非常合理得10分，较为合理得5分，一般的得2分，未提供的不得分。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保密措施</w:t>
            </w:r>
          </w:p>
        </w:tc>
        <w:tc>
          <w:tcPr>
            <w:tcW w:type="dxa" w:w="3115"/>
          </w:tcPr>
          <w:p>
            <w:pPr>
              <w:pStyle w:val="null5"/>
              <w:jc w:val="left"/>
            </w:pPr>
            <w:r>
              <w:rPr>
                <w:rFonts w:ascii="仿宋_GB2312" w:hAnsi="仿宋_GB2312" w:cs="仿宋_GB2312" w:eastAsia="仿宋_GB2312"/>
              </w:rPr>
              <w:t>提供包括但不限于：对本项目所有涉及的调查评价数据进行保密，横向比对各投标供应商的保密措施规范、健全、严谨程度。科学可行得10分；可行性较强得8分；基本可行得5分；。无此项得0分；差得2分；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项目进度计划与安排</w:t>
            </w:r>
          </w:p>
        </w:tc>
        <w:tc>
          <w:tcPr>
            <w:tcW w:type="dxa" w:w="3115"/>
          </w:tcPr>
          <w:p>
            <w:pPr>
              <w:pStyle w:val="null5"/>
              <w:jc w:val="left"/>
            </w:pPr>
            <w:r>
              <w:rPr>
                <w:rFonts w:ascii="仿宋_GB2312" w:hAnsi="仿宋_GB2312" w:cs="仿宋_GB2312" w:eastAsia="仿宋_GB2312"/>
              </w:rPr>
              <w:t>有项目进度计划安排。计划安排合理、措施得力。 （1）进度服务方案科学、合理、安全、考虑周全，措施到位，针对性强，完全能够满足需要得10分； （2）进度服务方案基本科学、合理、安全、考虑基本周全，措施基本到位，针对性强，可以满足需要得7分； （3）进度服务方案在科学、合理、安全、考虑不够周全，措施不够到位，针对性不强，基本满足需要得3分； （4）进度服务方案不合理、措施不到位不能满足采购需要得1分； （5）未提供本项，得0分。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服务承诺</w:t>
            </w:r>
          </w:p>
        </w:tc>
        <w:tc>
          <w:tcPr>
            <w:tcW w:type="dxa" w:w="3115"/>
          </w:tcPr>
          <w:p>
            <w:pPr>
              <w:pStyle w:val="null5"/>
              <w:jc w:val="left"/>
            </w:pPr>
            <w:r>
              <w:rPr>
                <w:rFonts w:ascii="仿宋_GB2312" w:hAnsi="仿宋_GB2312" w:cs="仿宋_GB2312" w:eastAsia="仿宋_GB2312"/>
              </w:rPr>
              <w:t>提供包括但不限于：制定详细的工作时间表、保证工作质量的措施、有效后续服务等。根据各投标单位服务承诺综合比较。承诺最优的得满分3分，其他投标人依次递减0.5分，减完为止。</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企业业绩</w:t>
            </w:r>
          </w:p>
        </w:tc>
        <w:tc>
          <w:tcPr>
            <w:tcW w:type="dxa" w:w="3115"/>
          </w:tcPr>
          <w:p>
            <w:pPr>
              <w:pStyle w:val="null5"/>
              <w:jc w:val="left"/>
            </w:pPr>
            <w:r>
              <w:rPr>
                <w:rFonts w:ascii="仿宋_GB2312" w:hAnsi="仿宋_GB2312" w:cs="仿宋_GB2312" w:eastAsia="仿宋_GB2312"/>
              </w:rPr>
              <w:t>近三年内（2022年02月至投标截止时间前，以合同签订时间为准）完成类似业绩的必须具备合同，每提供一个类似工程加2分，本项最高得10分。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项目负责人</w:t>
            </w:r>
          </w:p>
        </w:tc>
        <w:tc>
          <w:tcPr>
            <w:tcW w:type="dxa" w:w="3115"/>
          </w:tcPr>
          <w:p>
            <w:pPr>
              <w:pStyle w:val="null5"/>
              <w:jc w:val="left"/>
            </w:pPr>
            <w:r>
              <w:rPr>
                <w:rFonts w:ascii="仿宋_GB2312" w:hAnsi="仿宋_GB2312" w:cs="仿宋_GB2312" w:eastAsia="仿宋_GB2312"/>
              </w:rPr>
              <w:t>拟派本项目的项目负责人具备国家注册城市规划师资格证书并同时具备规划专业类高级职称，提供一个得4分；本项最高得4分。注：须提供身份证、职称证书、国家注册城乡规划师证书、社保证明(如有其它情况不能提供社保证明的，须提供相关有效证明材料）</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项目组其他人员配置</w:t>
            </w:r>
          </w:p>
        </w:tc>
        <w:tc>
          <w:tcPr>
            <w:tcW w:type="dxa" w:w="3115"/>
          </w:tcPr>
          <w:p>
            <w:pPr>
              <w:pStyle w:val="null5"/>
              <w:jc w:val="left"/>
            </w:pPr>
            <w:r>
              <w:rPr>
                <w:rFonts w:ascii="仿宋_GB2312" w:hAnsi="仿宋_GB2312" w:cs="仿宋_GB2312" w:eastAsia="仿宋_GB2312"/>
              </w:rPr>
              <w:t>1、具备规划、建筑、给排水专业高级工程师资格，一个专业得1分，本项最高计3分。（提供人员身份证、毕业证、职称证、近三个月本单位社保证明，退休人员需提供退休证明及返聘合同）。 2、拟派本项目的其他项目组成员（项目负责人除外）： ①同时具备国家注册城市规划师资格证书和中级工程师（含以上）证书及以上得1分，本项最高计3分；注：须提供身份证、职称证书、国家注册城乡规划师证书、社保证明(如有其它情况不能提供社保证明的，须提供相关有效证明材料）</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