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购置农村养老服务用车项目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通辽市科尔沁区民政事务服务中心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内蒙古泽润全过程项目管理有限公司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KEQQZCS-G-H-250020</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内蒙古泽润全过程项目管理有限公司</w:t>
      </w:r>
      <w:r>
        <w:rPr>
          <w:rFonts w:ascii="仿宋_GB2312" w:hAnsi="仿宋_GB2312" w:cs="仿宋_GB2312" w:eastAsia="仿宋_GB2312"/>
        </w:rPr>
        <w:t xml:space="preserve"> 受 </w:t>
      </w:r>
      <w:r>
        <w:rPr>
          <w:rFonts w:ascii="仿宋_GB2312" w:hAnsi="仿宋_GB2312" w:cs="仿宋_GB2312" w:eastAsia="仿宋_GB2312"/>
        </w:rPr>
        <w:t>通辽市科尔沁区民政事务服务中心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购置农村养老服务用车项目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购置农村养老服务用车项目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KEQQZCS-G-H-250020</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150502[2025]00192</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购置农村养老服务用车项目</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1,000,000.00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是</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内蒙古泽润全过程项目管理有限公司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通辽市科尔沁区团结街道</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028000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刘冲</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18747840808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通辽市科尔沁区民政事务服务中心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通辽市科尔沁区</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028000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武琳</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13304751893</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代理服务费收费标准：参照内工建协【2022】34号文件计取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1、合同融资，凡已在内蒙古自治区政府采购云平台供应商登记库中登记，并依法取得内蒙古自治区内政府采购合同的区内中小企业(含个体工商户)供应商，均可申请政府采购合同融资。 相关资料可査阅:https://www.ccgp-neimenggu.gov.cn/2021/05/104642.html 2、中标（成交）供应商在中标（成交）后可凭借采购合同申请“政采贷”扶持政策，“政采贷”政策合同融资为支持和促进中小企业发展，切实解决企业融资难问题，政府采购项目已开通合同融资渠道，供应商中标（成交）后可通过中标（成交）合同向相关银行发起无抵押无担保融资申请，银行根据企业中标（成交）信息发放贷款，帮助企业解决融资问题。相关资料可查阅（http://39.104.85.103/zcdservice/zcd/neimeng） 3、节实施政府采购节能产品、环境标志产品品目清单管理。根据财政部发展改革委《关于印发节能产品政府采购品目清单的通知》财库【2019】19号、财政部生态环境部《关于印发环境标志产品政府采购品目清单的通知》财库【2019】18号文件精神，对已列入品目清单的产品类别，我单位对符合条件的获证产品给予优先待遇。 4、绿色包装和绿色运输，落实绿色包装和绿色运输，包装应采用绿色环保材料妥善包装，包装和运输材料不得随意丢弃，外包装纸板或瓦楞纸要求使用可回收类型材料，运输工具车辆符合国家机动车燃油排放标准，途中不得污染水源、土壤等自然环境。</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通辽市科尔沁区民政事务服务中心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内蒙古泽润全过程项目管理有限公司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供应商在投标时，按照规定可提供《通辽市政府采购供应商信用承诺函》或2024年度经会计师事务所出具的财务审计报告或其基本开户银行出具的近一年内的银行资信证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供应商在投标时，按照规定可提供《通辽市政府采购供应商信用承诺函》或递交投标文件截止之日前一年内(至少一个月)的良好缴纳税收和社会保险的相关凭据。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供应商在投标时，按照规定可提供《通辽市政府采购供应商信用承诺函》或出具的"具有履行合同所必须的设备和专业技术能力"声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供应商在投标时，按照规定可提供《通辽市政府采购供应商信用承诺函》或“参加本采购活动前3年内在经营活动中没有重大违法记录"投标人书面声明函。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供应商在投标时，按照规定可提供《通辽市政府采购供应商信用承诺函》或提交投标文件的截止时间，投标人未被列入失信被执行人、税收违法黑名单、政府采购严重违法失信行为记录名单。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购置农村养老服务用车项目，其中自动挡一辆，手动挡三辆。</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自采购合同签订后30日内供货安装调试完毕，质保期以厂家承诺期为主</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通辽市科尔沁区</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1、签订合同后支付，达到付款条件起10日，支付合同总金额的30.00%</w:t>
            </w:r>
          </w:p>
          <w:p>
            <w:pPr>
              <w:pStyle w:val="null5"/>
              <w:jc w:val="left"/>
            </w:pPr>
            <w:r>
              <w:rPr>
                <w:rFonts w:ascii="仿宋_GB2312" w:hAnsi="仿宋_GB2312" w:cs="仿宋_GB2312" w:eastAsia="仿宋_GB2312"/>
              </w:rPr>
              <w:t>2、供货完毕，货物验收合格后支付，达到付款条件起10日，支付合同总金额的40.00%</w:t>
            </w:r>
          </w:p>
          <w:p>
            <w:pPr>
              <w:pStyle w:val="null5"/>
              <w:jc w:val="left"/>
            </w:pPr>
            <w:r>
              <w:rPr>
                <w:rFonts w:ascii="仿宋_GB2312" w:hAnsi="仿宋_GB2312" w:cs="仿宋_GB2312" w:eastAsia="仿宋_GB2312"/>
              </w:rPr>
              <w:t>3、验收完毕后，货物平稳运行六个月后，达到付款条件起10日，支付合同总金额的30.00%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标的名称：购置农村养老服务用车项目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51"/>
              <w:gridCol w:w="222"/>
              <w:gridCol w:w="1272"/>
              <w:gridCol w:w="906"/>
            </w:tblGrid>
            <w:tr>
              <w:tc>
                <w:tcPr>
                  <w:tcW w:type="dxa" w:w="2551"/>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手动档车辆配置表</w:t>
                  </w:r>
                </w:p>
              </w:tc>
            </w:tr>
            <w:tr>
              <w:tc>
                <w:tcPr>
                  <w:tcW w:type="dxa" w:w="151"/>
                  <w:vMerge w:val="restart"/>
                  <w:tcBorders>
                    <w:top w:val="single" w:color="000000" w:sz="4"/>
                    <w:left w:val="single" w:color="000000" w:sz="4"/>
                    <w:bottom w:val="single" w:color="000000" w:sz="4"/>
                    <w:right w:val="single" w:color="000000" w:sz="4"/>
                  </w:tcBorders>
                  <w:shd w:fill="D9D9D9"/>
                  <w:tcMar>
                    <w:top w:type="dxa" w:w="15"/>
                    <w:left w:type="dxa" w:w="15"/>
                    <w:right w:type="dxa" w:w="15"/>
                  </w:tcMar>
                  <w:vAlign w:val="top"/>
                </w:tcPr>
                <w:p>
                  <w:pPr>
                    <w:pStyle w:val="null5"/>
                    <w:jc w:val="left"/>
                  </w:pPr>
                  <w:r>
                    <w:rPr>
                      <w:rFonts w:ascii="仿宋_GB2312" w:hAnsi="仿宋_GB2312" w:cs="仿宋_GB2312" w:eastAsia="仿宋_GB2312"/>
                      <w:sz w:val="19"/>
                      <w:color w:val="000000"/>
                    </w:rPr>
                    <w:t>技术参数</w:t>
                  </w: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座位数</w:t>
                  </w:r>
                </w:p>
              </w:tc>
              <w:tc>
                <w:tcPr>
                  <w:tcW w:type="dxa" w:w="90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9</w:t>
                  </w:r>
                </w:p>
              </w:tc>
            </w:tr>
            <w:tr>
              <w:tc>
                <w:tcPr>
                  <w:tcW w:type="dxa" w:w="151"/>
                  <w:vMerge/>
                  <w:tcBorders>
                    <w:top w:val="single" w:color="000000" w:sz="4"/>
                    <w:left w:val="single" w:color="000000" w:sz="4"/>
                    <w:bottom w:val="singl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座椅布局</w:t>
                  </w:r>
                </w:p>
              </w:tc>
              <w:tc>
                <w:tcPr>
                  <w:tcW w:type="dxa" w:w="906"/>
                  <w:tcBorders>
                    <w:top w:val="single" w:color="000000" w:sz="4"/>
                    <w:left w:val="single" w:color="000000" w:sz="4"/>
                    <w:bottom w:val="single" w:color="000000" w:sz="4"/>
                    <w:right w:val="single" w:color="000000" w:sz="4"/>
                  </w:tcBorders>
                  <w:shd w:fill="FFFFFF"/>
                  <w:tcMar>
                    <w:top w:type="dxa" w:w="15"/>
                    <w:left w:type="dxa" w:w="15"/>
                    <w:right w:type="dxa" w:w="15"/>
                  </w:tcMar>
                  <w:vAlign w:val="top"/>
                </w:tcPr>
                <w:p>
                  <w:pPr>
                    <w:pStyle w:val="null5"/>
                    <w:jc w:val="center"/>
                  </w:pPr>
                  <w:r>
                    <w:rPr>
                      <w:rFonts w:ascii="仿宋_GB2312" w:hAnsi="仿宋_GB2312" w:cs="仿宋_GB2312" w:eastAsia="仿宋_GB2312"/>
                      <w:sz w:val="19"/>
                      <w:color w:val="000000"/>
                    </w:rPr>
                    <w:t>3+3+3</w:t>
                  </w:r>
                </w:p>
              </w:tc>
            </w:tr>
            <w:tr>
              <w:tc>
                <w:tcPr>
                  <w:tcW w:type="dxa" w:w="151"/>
                  <w:vMerge/>
                  <w:tcBorders>
                    <w:top w:val="single" w:color="000000" w:sz="4"/>
                    <w:left w:val="single" w:color="000000" w:sz="4"/>
                    <w:bottom w:val="singl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轴距（</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3300≤</w:t>
                  </w:r>
                  <w:r>
                    <w:rPr>
                      <w:rFonts w:ascii="仿宋_GB2312" w:hAnsi="仿宋_GB2312" w:cs="仿宋_GB2312" w:eastAsia="仿宋_GB2312"/>
                      <w:sz w:val="20"/>
                      <w:color w:val="000000"/>
                    </w:rPr>
                    <w:t>轴距</w:t>
                  </w:r>
                  <w:r>
                    <w:rPr>
                      <w:rFonts w:ascii="仿宋_GB2312" w:hAnsi="仿宋_GB2312" w:cs="仿宋_GB2312" w:eastAsia="仿宋_GB2312"/>
                      <w:sz w:val="20"/>
                      <w:color w:val="000000"/>
                    </w:rPr>
                    <w:t>≤3366</w:t>
                  </w:r>
                </w:p>
              </w:tc>
            </w:tr>
            <w:tr>
              <w:tc>
                <w:tcPr>
                  <w:tcW w:type="dxa" w:w="151"/>
                  <w:vMerge/>
                  <w:tcBorders>
                    <w:top w:val="single" w:color="000000" w:sz="4"/>
                    <w:left w:val="single" w:color="000000" w:sz="4"/>
                    <w:bottom w:val="singl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长</w:t>
                  </w:r>
                  <w:r>
                    <w:rPr>
                      <w:rFonts w:ascii="仿宋_GB2312" w:hAnsi="仿宋_GB2312" w:cs="仿宋_GB2312" w:eastAsia="仿宋_GB2312"/>
                      <w:sz w:val="20"/>
                      <w:color w:val="000000"/>
                    </w:rPr>
                    <w:t>x</w:t>
                  </w:r>
                  <w:r>
                    <w:rPr>
                      <w:rFonts w:ascii="仿宋_GB2312" w:hAnsi="仿宋_GB2312" w:cs="仿宋_GB2312" w:eastAsia="仿宋_GB2312"/>
                      <w:sz w:val="20"/>
                      <w:color w:val="000000"/>
                    </w:rPr>
                    <w:t>宽</w:t>
                  </w:r>
                  <w:r>
                    <w:rPr>
                      <w:rFonts w:ascii="仿宋_GB2312" w:hAnsi="仿宋_GB2312" w:cs="仿宋_GB2312" w:eastAsia="仿宋_GB2312"/>
                      <w:sz w:val="20"/>
                      <w:color w:val="000000"/>
                    </w:rPr>
                    <w:t>x</w:t>
                  </w:r>
                  <w:r>
                    <w:rPr>
                      <w:rFonts w:ascii="仿宋_GB2312" w:hAnsi="仿宋_GB2312" w:cs="仿宋_GB2312" w:eastAsia="仿宋_GB2312"/>
                      <w:sz w:val="20"/>
                      <w:color w:val="000000"/>
                    </w:rPr>
                    <w:t>高（</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≤5498x2296x2545</w:t>
                  </w:r>
                </w:p>
              </w:tc>
            </w:tr>
            <w:tr>
              <w:tc>
                <w:tcPr>
                  <w:tcW w:type="dxa" w:w="151"/>
                  <w:vMerge/>
                  <w:tcBorders>
                    <w:top w:val="single" w:color="000000" w:sz="4"/>
                    <w:left w:val="single" w:color="000000" w:sz="4"/>
                    <w:bottom w:val="single" w:color="000000" w:sz="4"/>
                    <w:right w:val="single" w:color="000000" w:sz="4"/>
                  </w:tcBorders>
                </w:tcPr>
                <w:p/>
              </w:tc>
              <w:tc>
                <w:tcPr>
                  <w:tcW w:type="dxa" w:w="22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9"/>
                      <w:color w:val="000000"/>
                    </w:rPr>
                    <w:t>发动机</w:t>
                  </w:r>
                </w:p>
              </w:tc>
              <w:tc>
                <w:tcPr>
                  <w:tcW w:type="dxa" w:w="127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型式</w:t>
                  </w:r>
                </w:p>
              </w:tc>
              <w:tc>
                <w:tcPr>
                  <w:tcW w:type="dxa" w:w="90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柴油发动机</w:t>
                  </w:r>
                </w:p>
              </w:tc>
            </w:tr>
            <w:tr>
              <w:tc>
                <w:tcPr>
                  <w:tcW w:type="dxa" w:w="151"/>
                  <w:vMerge/>
                  <w:tcBorders>
                    <w:top w:val="single" w:color="000000" w:sz="4"/>
                    <w:left w:val="single" w:color="000000" w:sz="4"/>
                    <w:bottom w:val="single" w:color="000000" w:sz="4"/>
                    <w:right w:val="single" w:color="000000" w:sz="4"/>
                  </w:tcBorders>
                </w:tcPr>
                <w:p/>
              </w:tc>
              <w:tc>
                <w:tcPr>
                  <w:tcW w:type="dxa" w:w="222"/>
                  <w:vMerge/>
                  <w:tcBorders>
                    <w:top w:val="single" w:color="000000" w:sz="4"/>
                    <w:left w:val="single" w:color="000000" w:sz="4"/>
                    <w:bottom w:val="single" w:color="000000" w:sz="4"/>
                    <w:right w:val="single" w:color="000000" w:sz="4"/>
                  </w:tcBorders>
                </w:tcPr>
                <w:p/>
              </w:tc>
              <w:tc>
                <w:tcPr>
                  <w:tcW w:type="dxa" w:w="127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排量（</w:t>
                  </w:r>
                  <w:r>
                    <w:rPr>
                      <w:rFonts w:ascii="仿宋_GB2312" w:hAnsi="仿宋_GB2312" w:cs="仿宋_GB2312" w:eastAsia="仿宋_GB2312"/>
                      <w:sz w:val="20"/>
                      <w:color w:val="000000"/>
                    </w:rPr>
                    <w:t>ml</w:t>
                  </w:r>
                  <w:r>
                    <w:rPr>
                      <w:rFonts w:ascii="仿宋_GB2312" w:hAnsi="仿宋_GB2312" w:cs="仿宋_GB2312" w:eastAsia="仿宋_GB2312"/>
                      <w:sz w:val="20"/>
                      <w:color w:val="000000"/>
                    </w:rPr>
                    <w:t>）</w:t>
                  </w:r>
                </w:p>
              </w:tc>
              <w:tc>
                <w:tcPr>
                  <w:tcW w:type="dxa" w:w="90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≥1996</w:t>
                  </w:r>
                </w:p>
              </w:tc>
            </w:tr>
            <w:tr>
              <w:tc>
                <w:tcPr>
                  <w:tcW w:type="dxa" w:w="151"/>
                  <w:vMerge/>
                  <w:tcBorders>
                    <w:top w:val="single" w:color="000000" w:sz="4"/>
                    <w:left w:val="single" w:color="000000" w:sz="4"/>
                    <w:bottom w:val="single" w:color="000000" w:sz="4"/>
                    <w:right w:val="single" w:color="000000" w:sz="4"/>
                  </w:tcBorders>
                </w:tcPr>
                <w:p/>
              </w:tc>
              <w:tc>
                <w:tcPr>
                  <w:tcW w:type="dxa" w:w="222"/>
                  <w:vMerge/>
                  <w:tcBorders>
                    <w:top w:val="single" w:color="000000" w:sz="4"/>
                    <w:left w:val="single" w:color="000000" w:sz="4"/>
                    <w:bottom w:val="single" w:color="000000" w:sz="4"/>
                    <w:right w:val="single" w:color="000000" w:sz="4"/>
                  </w:tcBorders>
                </w:tcPr>
                <w:p/>
              </w:tc>
              <w:tc>
                <w:tcPr>
                  <w:tcW w:type="dxa" w:w="127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国六排放</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single" w:color="000000" w:sz="4"/>
                    <w:left w:val="single" w:color="000000" w:sz="4"/>
                    <w:bottom w:val="single" w:color="000000" w:sz="4"/>
                    <w:right w:val="single" w:color="000000" w:sz="4"/>
                  </w:tcBorders>
                </w:tcPr>
                <w:p/>
              </w:tc>
              <w:tc>
                <w:tcPr>
                  <w:tcW w:type="dxa" w:w="222"/>
                  <w:vMerge/>
                  <w:tcBorders>
                    <w:top w:val="single" w:color="000000" w:sz="4"/>
                    <w:left w:val="single" w:color="000000" w:sz="4"/>
                    <w:bottom w:val="single" w:color="000000" w:sz="4"/>
                    <w:right w:val="single" w:color="000000" w:sz="4"/>
                  </w:tcBorders>
                </w:tcPr>
                <w:p/>
              </w:tc>
              <w:tc>
                <w:tcPr>
                  <w:tcW w:type="dxa" w:w="127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额定功率（</w:t>
                  </w:r>
                  <w:r>
                    <w:rPr>
                      <w:rFonts w:ascii="仿宋_GB2312" w:hAnsi="仿宋_GB2312" w:cs="仿宋_GB2312" w:eastAsia="仿宋_GB2312"/>
                      <w:sz w:val="20"/>
                      <w:color w:val="000000"/>
                    </w:rPr>
                    <w:t>ps/rpm</w:t>
                  </w:r>
                  <w:r>
                    <w:rPr>
                      <w:rFonts w:ascii="仿宋_GB2312" w:hAnsi="仿宋_GB2312" w:cs="仿宋_GB2312" w:eastAsia="仿宋_GB2312"/>
                      <w:sz w:val="20"/>
                      <w:color w:val="000000"/>
                    </w:rPr>
                    <w:t>）</w:t>
                  </w:r>
                </w:p>
              </w:tc>
              <w:tc>
                <w:tcPr>
                  <w:tcW w:type="dxa" w:w="90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≥105/3500</w:t>
                  </w:r>
                </w:p>
              </w:tc>
            </w:tr>
            <w:tr>
              <w:tc>
                <w:tcPr>
                  <w:tcW w:type="dxa" w:w="151"/>
                  <w:vMerge/>
                  <w:tcBorders>
                    <w:top w:val="single" w:color="000000" w:sz="4"/>
                    <w:left w:val="single" w:color="000000" w:sz="4"/>
                    <w:bottom w:val="single" w:color="000000" w:sz="4"/>
                    <w:right w:val="single" w:color="000000" w:sz="4"/>
                  </w:tcBorders>
                </w:tcPr>
                <w:p/>
              </w:tc>
              <w:tc>
                <w:tcPr>
                  <w:tcW w:type="dxa" w:w="222"/>
                  <w:vMerge/>
                  <w:tcBorders>
                    <w:top w:val="single" w:color="000000" w:sz="4"/>
                    <w:left w:val="single" w:color="000000" w:sz="4"/>
                    <w:bottom w:val="single" w:color="000000" w:sz="4"/>
                    <w:right w:val="single" w:color="000000" w:sz="4"/>
                  </w:tcBorders>
                </w:tcPr>
                <w:p/>
              </w:tc>
              <w:tc>
                <w:tcPr>
                  <w:tcW w:type="dxa" w:w="127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最大扭矩（</w:t>
                  </w:r>
                  <w:r>
                    <w:rPr>
                      <w:rFonts w:ascii="仿宋_GB2312" w:hAnsi="仿宋_GB2312" w:cs="仿宋_GB2312" w:eastAsia="仿宋_GB2312"/>
                      <w:sz w:val="20"/>
                      <w:color w:val="000000"/>
                    </w:rPr>
                    <w:t>N.m/rpm</w:t>
                  </w:r>
                  <w:r>
                    <w:rPr>
                      <w:rFonts w:ascii="仿宋_GB2312" w:hAnsi="仿宋_GB2312" w:cs="仿宋_GB2312" w:eastAsia="仿宋_GB2312"/>
                      <w:sz w:val="20"/>
                      <w:color w:val="000000"/>
                    </w:rPr>
                    <w:t>）</w:t>
                  </w:r>
                </w:p>
              </w:tc>
              <w:tc>
                <w:tcPr>
                  <w:tcW w:type="dxa" w:w="90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≥355/1400-2200</w:t>
                  </w:r>
                </w:p>
              </w:tc>
            </w:tr>
            <w:tr>
              <w:tc>
                <w:tcPr>
                  <w:tcW w:type="dxa" w:w="151"/>
                  <w:vMerge/>
                  <w:tcBorders>
                    <w:top w:val="single" w:color="000000" w:sz="4"/>
                    <w:left w:val="single" w:color="000000" w:sz="4"/>
                    <w:bottom w:val="single" w:color="000000" w:sz="4"/>
                    <w:right w:val="single" w:color="000000" w:sz="4"/>
                  </w:tcBorders>
                </w:tcPr>
                <w:p/>
              </w:tc>
              <w:tc>
                <w:tcPr>
                  <w:tcW w:type="dxa" w:w="22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变速箱</w:t>
                  </w:r>
                </w:p>
              </w:tc>
              <w:tc>
                <w:tcPr>
                  <w:tcW w:type="dxa" w:w="127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6</w:t>
                  </w:r>
                  <w:r>
                    <w:rPr>
                      <w:rFonts w:ascii="仿宋_GB2312" w:hAnsi="仿宋_GB2312" w:cs="仿宋_GB2312" w:eastAsia="仿宋_GB2312"/>
                      <w:sz w:val="20"/>
                      <w:color w:val="000000"/>
                    </w:rPr>
                    <w:t>个手动前进挡</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single" w:color="000000" w:sz="4"/>
                    <w:left w:val="single" w:color="000000" w:sz="4"/>
                    <w:bottom w:val="singl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驱动形式</w:t>
                  </w:r>
                </w:p>
              </w:tc>
              <w:tc>
                <w:tcPr>
                  <w:tcW w:type="dxa" w:w="90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前驱</w:t>
                  </w:r>
                </w:p>
              </w:tc>
            </w:tr>
            <w:tr>
              <w:tc>
                <w:tcPr>
                  <w:tcW w:type="dxa" w:w="151"/>
                  <w:vMerge/>
                  <w:tcBorders>
                    <w:top w:val="single" w:color="000000" w:sz="4"/>
                    <w:left w:val="single" w:color="000000" w:sz="4"/>
                    <w:bottom w:val="singl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后轮胎形式</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后单胎</w:t>
                  </w:r>
                </w:p>
              </w:tc>
            </w:tr>
            <w:tr>
              <w:tc>
                <w:tcPr>
                  <w:tcW w:type="dxa" w:w="151"/>
                  <w:vMerge/>
                  <w:tcBorders>
                    <w:top w:val="single" w:color="000000" w:sz="4"/>
                    <w:left w:val="single" w:color="000000" w:sz="4"/>
                    <w:bottom w:val="singl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最高车速（</w:t>
                  </w:r>
                  <w:r>
                    <w:rPr>
                      <w:rFonts w:ascii="仿宋_GB2312" w:hAnsi="仿宋_GB2312" w:cs="仿宋_GB2312" w:eastAsia="仿宋_GB2312"/>
                      <w:sz w:val="20"/>
                      <w:color w:val="000000"/>
                    </w:rPr>
                    <w:t>km/h</w:t>
                  </w:r>
                  <w:r>
                    <w:rPr>
                      <w:rFonts w:ascii="仿宋_GB2312" w:hAnsi="仿宋_GB2312" w:cs="仿宋_GB2312" w:eastAsia="仿宋_GB2312"/>
                      <w:sz w:val="20"/>
                      <w:color w:val="000000"/>
                    </w:rPr>
                    <w:t>）</w:t>
                  </w:r>
                </w:p>
              </w:tc>
              <w:tc>
                <w:tcPr>
                  <w:tcW w:type="dxa" w:w="90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≥150</w:t>
                  </w:r>
                </w:p>
              </w:tc>
            </w:tr>
            <w:tr>
              <w:tc>
                <w:tcPr>
                  <w:tcW w:type="dxa" w:w="151"/>
                  <w:vMerge/>
                  <w:tcBorders>
                    <w:top w:val="single" w:color="000000" w:sz="4"/>
                    <w:left w:val="single" w:color="000000" w:sz="4"/>
                    <w:bottom w:val="singl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燃油箱容积（</w:t>
                  </w:r>
                  <w:r>
                    <w:rPr>
                      <w:rFonts w:ascii="仿宋_GB2312" w:hAnsi="仿宋_GB2312" w:cs="仿宋_GB2312" w:eastAsia="仿宋_GB2312"/>
                      <w:sz w:val="20"/>
                      <w:color w:val="000000"/>
                    </w:rPr>
                    <w:t>L</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尿素罐容积（</w:t>
                  </w:r>
                  <w:r>
                    <w:rPr>
                      <w:rFonts w:ascii="仿宋_GB2312" w:hAnsi="仿宋_GB2312" w:cs="仿宋_GB2312" w:eastAsia="仿宋_GB2312"/>
                      <w:sz w:val="20"/>
                      <w:color w:val="000000"/>
                    </w:rPr>
                    <w:t>L</w:t>
                  </w:r>
                  <w:r>
                    <w:rPr>
                      <w:rFonts w:ascii="仿宋_GB2312" w:hAnsi="仿宋_GB2312" w:cs="仿宋_GB2312" w:eastAsia="仿宋_GB2312"/>
                      <w:sz w:val="20"/>
                      <w:color w:val="000000"/>
                    </w:rPr>
                    <w:t>）</w:t>
                  </w:r>
                </w:p>
              </w:tc>
              <w:tc>
                <w:tcPr>
                  <w:tcW w:type="dxa" w:w="90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≥80/18</w:t>
                  </w:r>
                </w:p>
              </w:tc>
            </w:tr>
            <w:tr>
              <w:tc>
                <w:tcPr>
                  <w:tcW w:type="dxa" w:w="151"/>
                  <w:vMerge/>
                  <w:tcBorders>
                    <w:top w:val="single" w:color="000000" w:sz="4"/>
                    <w:left w:val="single" w:color="000000" w:sz="4"/>
                    <w:bottom w:val="singl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制动系统</w:t>
                  </w:r>
                </w:p>
              </w:tc>
              <w:tc>
                <w:tcPr>
                  <w:tcW w:type="dxa" w:w="90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前后盘式制动</w:t>
                  </w:r>
                </w:p>
              </w:tc>
            </w:tr>
            <w:tr>
              <w:tc>
                <w:tcPr>
                  <w:tcW w:type="dxa" w:w="151"/>
                  <w:vMerge/>
                  <w:tcBorders>
                    <w:top w:val="single" w:color="000000" w:sz="4"/>
                    <w:left w:val="single" w:color="000000" w:sz="4"/>
                    <w:bottom w:val="singl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悬架系统</w:t>
                  </w:r>
                </w:p>
              </w:tc>
              <w:tc>
                <w:tcPr>
                  <w:tcW w:type="dxa" w:w="90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前麦弗逊独立悬架</w:t>
                  </w:r>
                  <w:r>
                    <w:rPr>
                      <w:rFonts w:ascii="仿宋_GB2312" w:hAnsi="仿宋_GB2312" w:cs="仿宋_GB2312" w:eastAsia="仿宋_GB2312"/>
                      <w:sz w:val="20"/>
                      <w:color w:val="000000"/>
                    </w:rPr>
                    <w:t>/</w:t>
                  </w:r>
                  <w:r>
                    <w:rPr>
                      <w:rFonts w:ascii="仿宋_GB2312" w:hAnsi="仿宋_GB2312" w:cs="仿宋_GB2312" w:eastAsia="仿宋_GB2312"/>
                      <w:sz w:val="20"/>
                      <w:color w:val="000000"/>
                    </w:rPr>
                    <w:t>后非独立悬架二片簧</w:t>
                  </w:r>
                </w:p>
              </w:tc>
            </w:tr>
            <w:tr>
              <w:tc>
                <w:tcPr>
                  <w:tcW w:type="dxa" w:w="151"/>
                  <w:vMerge/>
                  <w:tcBorders>
                    <w:top w:val="single" w:color="000000" w:sz="4"/>
                    <w:left w:val="single" w:color="000000" w:sz="4"/>
                    <w:bottom w:val="singl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轮胎规格</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≥215/65R16LT</w:t>
                  </w:r>
                </w:p>
              </w:tc>
            </w:tr>
            <w:tr>
              <w:tc>
                <w:tcPr>
                  <w:tcW w:type="dxa" w:w="151"/>
                  <w:tcBorders>
                    <w:top w:val="singl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2400"/>
                  <w:gridSpan w:val="3"/>
                  <w:tcBorders>
                    <w:top w:val="single" w:color="000000" w:sz="4"/>
                    <w:left w:val="single" w:color="000000" w:sz="4"/>
                    <w:bottom w:val="single" w:color="000000" w:sz="4"/>
                    <w:right w:val="single" w:color="000000" w:sz="4"/>
                  </w:tcBorders>
                  <w:shd w:fill="D9D9D9"/>
                  <w:tcMar>
                    <w:top w:type="dxa" w:w="15"/>
                    <w:left w:type="dxa" w:w="15"/>
                    <w:right w:type="dxa" w:w="15"/>
                  </w:tcMar>
                  <w:vAlign w:val="top"/>
                </w:tcPr>
                <w:p>
                  <w:pPr>
                    <w:pStyle w:val="null5"/>
                    <w:jc w:val="left"/>
                  </w:pPr>
                  <w:r>
                    <w:rPr>
                      <w:rFonts w:ascii="仿宋_GB2312" w:hAnsi="仿宋_GB2312" w:cs="仿宋_GB2312" w:eastAsia="仿宋_GB2312"/>
                      <w:sz w:val="19"/>
                      <w:color w:val="000000"/>
                    </w:rPr>
                    <w:t>外观与内饰</w:t>
                  </w:r>
                </w:p>
              </w:tc>
            </w:tr>
            <w:tr>
              <w:tc>
                <w:tcPr>
                  <w:tcW w:type="dxa" w:w="151"/>
                  <w:vMerge w:val="restart"/>
                  <w:tcBorders>
                    <w:top w:val="none" w:color="000000" w:sz="4"/>
                    <w:left w:val="single" w:color="000000" w:sz="4"/>
                    <w:bottom w:val="none" w:color="000000" w:sz="4"/>
                    <w:right w:val="single" w:color="000000" w:sz="4"/>
                  </w:tcBorders>
                  <w:shd w:fill="D9D9D9"/>
                  <w:tcMar>
                    <w:top w:type="dxa" w:w="15"/>
                    <w:left w:type="dxa" w:w="15"/>
                    <w:right w:type="dxa" w:w="15"/>
                  </w:tcMar>
                  <w:vAlign w:val="top"/>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前后雾灯</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右侧移门</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铝合金轮毂（不含备胎）</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一体式后踏步</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驾驶舱环抱式仪表盘</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灰色内饰颜色</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黑色织物座椅布料</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全包覆内饰</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2400"/>
                  <w:gridSpan w:val="3"/>
                  <w:tcBorders>
                    <w:top w:val="single" w:color="000000" w:sz="4"/>
                    <w:left w:val="single" w:color="000000" w:sz="4"/>
                    <w:bottom w:val="single" w:color="000000" w:sz="4"/>
                    <w:right w:val="single" w:color="000000" w:sz="4"/>
                  </w:tcBorders>
                  <w:shd w:fill="D9D9D9"/>
                  <w:tcMar>
                    <w:top w:type="dxa" w:w="15"/>
                    <w:left w:type="dxa" w:w="15"/>
                    <w:right w:type="dxa" w:w="15"/>
                  </w:tcMar>
                  <w:vAlign w:val="top"/>
                </w:tcPr>
                <w:p>
                  <w:pPr>
                    <w:pStyle w:val="null5"/>
                    <w:jc w:val="left"/>
                  </w:pPr>
                  <w:r>
                    <w:rPr>
                      <w:rFonts w:ascii="仿宋_GB2312" w:hAnsi="仿宋_GB2312" w:cs="仿宋_GB2312" w:eastAsia="仿宋_GB2312"/>
                      <w:sz w:val="19"/>
                      <w:color w:val="000000"/>
                    </w:rPr>
                    <w:t>安全操控</w:t>
                  </w:r>
                </w:p>
              </w:tc>
            </w:tr>
            <w:tr>
              <w:tc>
                <w:tcPr>
                  <w:tcW w:type="dxa" w:w="151"/>
                  <w:vMerge w:val="restart"/>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pPr>
                    <w:pStyle w:val="null5"/>
                    <w:jc w:val="left"/>
                  </w:pPr>
                  <w:r>
                    <w:rPr>
                      <w:rFonts w:ascii="仿宋_GB2312" w:hAnsi="仿宋_GB2312" w:cs="仿宋_GB2312" w:eastAsia="仿宋_GB2312"/>
                      <w:sz w:val="19"/>
                      <w:color w:val="000000"/>
                    </w:rPr>
                    <w:t>配置信息</w:t>
                  </w: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ABS+EBD+BAS</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ESP+HHC</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EPB电子驻车</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高清倒车影像</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驾驶座安全气囊</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驾驶员安全带未系报警</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全车座椅三点式安全带</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2400"/>
                  <w:gridSpan w:val="3"/>
                  <w:tcBorders>
                    <w:top w:val="single" w:color="000000" w:sz="4"/>
                    <w:left w:val="single" w:color="000000" w:sz="4"/>
                    <w:bottom w:val="single" w:color="000000" w:sz="4"/>
                    <w:right w:val="single" w:color="000000" w:sz="4"/>
                  </w:tcBorders>
                  <w:shd w:fill="D9D9D9"/>
                  <w:tcMar>
                    <w:top w:type="dxa" w:w="15"/>
                    <w:left w:type="dxa" w:w="15"/>
                    <w:right w:type="dxa" w:w="15"/>
                  </w:tcMar>
                  <w:vAlign w:val="top"/>
                </w:tcPr>
                <w:p>
                  <w:pPr>
                    <w:pStyle w:val="null5"/>
                    <w:jc w:val="left"/>
                  </w:pPr>
                  <w:r>
                    <w:rPr>
                      <w:rFonts w:ascii="仿宋_GB2312" w:hAnsi="仿宋_GB2312" w:cs="仿宋_GB2312" w:eastAsia="仿宋_GB2312"/>
                      <w:sz w:val="19"/>
                      <w:color w:val="000000"/>
                    </w:rPr>
                    <w:t>舒适娱乐</w:t>
                  </w:r>
                </w:p>
              </w:tc>
            </w:tr>
            <w:tr>
              <w:tc>
                <w:tcPr>
                  <w:tcW w:type="dxa" w:w="151"/>
                  <w:vMerge w:val="restart"/>
                  <w:tcBorders>
                    <w:top w:val="none" w:color="000000" w:sz="4"/>
                    <w:left w:val="single" w:color="000000" w:sz="4"/>
                    <w:bottom w:val="none" w:color="000000" w:sz="4"/>
                    <w:right w:val="single" w:color="000000" w:sz="4"/>
                  </w:tcBorders>
                  <w:shd w:fill="D9D9D9"/>
                  <w:tcMar>
                    <w:top w:type="dxa" w:w="15"/>
                    <w:left w:type="dxa" w:w="15"/>
                    <w:right w:type="dxa" w:w="15"/>
                  </w:tcMar>
                  <w:vAlign w:val="top"/>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前排电动窗</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主副驾一键升降+蓝牙来电自动升窗</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多功能方向盘+蓝牙+定速巡航</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遥控钥匙（2把）+蓝牙开启</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感速型自动落锁（</w:t>
                  </w:r>
                  <w:r>
                    <w:rPr>
                      <w:rFonts w:ascii="仿宋_GB2312" w:hAnsi="仿宋_GB2312" w:cs="仿宋_GB2312" w:eastAsia="仿宋_GB2312"/>
                      <w:sz w:val="20"/>
                      <w:color w:val="000000"/>
                    </w:rPr>
                    <w:t>20km/h)</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vMerge/>
                  <w:tcBorders>
                    <w:top w:val="none" w:color="000000" w:sz="4"/>
                    <w:left w:val="single" w:color="000000" w:sz="4"/>
                    <w:bottom w:val="none" w:color="000000" w:sz="4"/>
                    <w:right w:val="single" w:color="000000" w:sz="4"/>
                  </w:tcBorders>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熄火自动开锁+内控中锁+自动关闭前照灯</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无钥匙进入及一键启动</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大功率冷暖前空调</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高清触控大屏+手机互联+液晶仪表</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149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全尺寸备胎（钢轮）+随车工具包</w:t>
                  </w:r>
                </w:p>
              </w:tc>
              <w:tc>
                <w:tcPr>
                  <w:tcW w:type="dxa" w:w="90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1"/>
                  <w:tcBorders>
                    <w:top w:val="none" w:color="000000" w:sz="4"/>
                    <w:left w:val="none" w:color="000000" w:sz="4"/>
                    <w:bottom w:val="none" w:color="000000" w:sz="4"/>
                    <w:right w:val="none" w:color="000000" w:sz="4"/>
                  </w:tcBorders>
                  <w:tcMar>
                    <w:top w:type="dxa" w:w="15"/>
                    <w:left w:type="dxa" w:w="15"/>
                    <w:right w:type="dxa" w:w="15"/>
                  </w:tcMar>
                  <w:vAlign w:val="top"/>
                </w:tcP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top"/>
                </w:tcPr>
                <w:p/>
              </w:tc>
              <w:tc>
                <w:tcPr>
                  <w:tcW w:type="dxa" w:w="1272"/>
                  <w:tcBorders>
                    <w:top w:val="none" w:color="000000" w:sz="4"/>
                    <w:left w:val="none" w:color="000000" w:sz="4"/>
                    <w:bottom w:val="none" w:color="000000" w:sz="4"/>
                    <w:right w:val="none" w:color="000000" w:sz="4"/>
                  </w:tcBorders>
                  <w:tcMar>
                    <w:top w:type="dxa" w:w="15"/>
                    <w:left w:type="dxa" w:w="15"/>
                    <w:right w:type="dxa" w:w="15"/>
                  </w:tcMar>
                  <w:vAlign w:val="top"/>
                </w:tcPr>
                <w:p/>
              </w:tc>
              <w:tc>
                <w:tcPr>
                  <w:tcW w:type="dxa" w:w="906"/>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2551"/>
                  <w:gridSpan w:val="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1"/>
                      <w:color w:val="333333"/>
                    </w:rPr>
                    <w:t>1、 GPS 需要具备二次开发，可与采购人单位系统兼容。</w:t>
                  </w:r>
                </w:p>
              </w:tc>
            </w:tr>
            <w:tr>
              <w:tc>
                <w:tcPr>
                  <w:tcW w:type="dxa" w:w="2551"/>
                  <w:gridSpan w:val="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1"/>
                      <w:color w:val="333333"/>
                    </w:rPr>
                    <w:t>2 、具备车内后部收纳柜。</w:t>
                  </w:r>
                </w:p>
              </w:tc>
            </w:tr>
            <w:tr>
              <w:tc>
                <w:tcPr>
                  <w:tcW w:type="dxa" w:w="2551"/>
                  <w:gridSpan w:val="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1"/>
                      <w:color w:val="333333"/>
                    </w:rPr>
                    <w:t>3 、具备扩音喇叭。</w:t>
                  </w:r>
                </w:p>
              </w:tc>
            </w:tr>
            <w:tr>
              <w:tc>
                <w:tcPr>
                  <w:tcW w:type="dxa" w:w="2551"/>
                  <w:gridSpan w:val="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1"/>
                      <w:color w:val="333333"/>
                    </w:rPr>
                    <w:t>4 、具备随诊箱，可与采购人智慧平台联动。</w:t>
                  </w:r>
                </w:p>
              </w:tc>
            </w:tr>
            <w:tr>
              <w:tc>
                <w:tcPr>
                  <w:tcW w:type="dxa" w:w="2551"/>
                  <w:gridSpan w:val="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1"/>
                      <w:color w:val="333333"/>
                    </w:rPr>
                    <w:t>5、具备车内摄像头。</w:t>
                  </w:r>
                </w:p>
              </w:tc>
            </w:tr>
          </w:tbl>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157"/>
              <w:gridCol w:w="120"/>
              <w:gridCol w:w="1328"/>
              <w:gridCol w:w="946"/>
            </w:tblGrid>
            <w:tr>
              <w:tc>
                <w:tcPr>
                  <w:tcW w:type="dxa" w:w="2551"/>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自动挡车辆配置表</w:t>
                  </w:r>
                </w:p>
              </w:tc>
            </w:tr>
            <w:tr>
              <w:tc>
                <w:tcPr>
                  <w:tcW w:type="dxa" w:w="157"/>
                  <w:vMerge w:val="restart"/>
                  <w:tcBorders>
                    <w:top w:val="single" w:color="000000" w:sz="4"/>
                    <w:left w:val="single" w:color="000000" w:sz="4"/>
                    <w:bottom w:val="single" w:color="000000" w:sz="4"/>
                    <w:right w:val="single" w:color="000000" w:sz="4"/>
                  </w:tcBorders>
                  <w:shd w:fill="D9D9D9"/>
                  <w:tcMar>
                    <w:top w:type="dxa" w:w="15"/>
                    <w:left w:type="dxa" w:w="15"/>
                    <w:right w:type="dxa" w:w="15"/>
                  </w:tcMar>
                  <w:vAlign w:val="top"/>
                </w:tcPr>
                <w:p>
                  <w:pPr>
                    <w:pStyle w:val="null5"/>
                    <w:jc w:val="left"/>
                  </w:pPr>
                  <w:r>
                    <w:rPr>
                      <w:rFonts w:ascii="仿宋_GB2312" w:hAnsi="仿宋_GB2312" w:cs="仿宋_GB2312" w:eastAsia="仿宋_GB2312"/>
                      <w:sz w:val="19"/>
                      <w:color w:val="000000"/>
                    </w:rPr>
                    <w:t>技术要求</w:t>
                  </w: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座位数</w:t>
                  </w:r>
                </w:p>
              </w:tc>
              <w:tc>
                <w:tcPr>
                  <w:tcW w:type="dxa" w:w="94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9</w:t>
                  </w:r>
                </w:p>
              </w:tc>
            </w:tr>
            <w:tr>
              <w:tc>
                <w:tcPr>
                  <w:tcW w:type="dxa" w:w="157"/>
                  <w:vMerge/>
                  <w:tcBorders>
                    <w:top w:val="single" w:color="000000" w:sz="4"/>
                    <w:left w:val="single" w:color="000000" w:sz="4"/>
                    <w:bottom w:val="singl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座椅布局</w:t>
                  </w:r>
                </w:p>
              </w:tc>
              <w:tc>
                <w:tcPr>
                  <w:tcW w:type="dxa" w:w="946"/>
                  <w:tcBorders>
                    <w:top w:val="single" w:color="000000" w:sz="4"/>
                    <w:left w:val="single" w:color="000000" w:sz="4"/>
                    <w:bottom w:val="single" w:color="000000" w:sz="4"/>
                    <w:right w:val="single" w:color="000000" w:sz="4"/>
                  </w:tcBorders>
                  <w:shd w:fill="FFFFFF"/>
                  <w:tcMar>
                    <w:top w:type="dxa" w:w="15"/>
                    <w:left w:type="dxa" w:w="15"/>
                    <w:right w:type="dxa" w:w="15"/>
                  </w:tcMar>
                  <w:vAlign w:val="top"/>
                </w:tcPr>
                <w:p>
                  <w:pPr>
                    <w:pStyle w:val="null5"/>
                    <w:jc w:val="center"/>
                  </w:pPr>
                  <w:r>
                    <w:rPr>
                      <w:rFonts w:ascii="仿宋_GB2312" w:hAnsi="仿宋_GB2312" w:cs="仿宋_GB2312" w:eastAsia="仿宋_GB2312"/>
                      <w:sz w:val="19"/>
                      <w:color w:val="000000"/>
                    </w:rPr>
                    <w:t>2+2+2+3</w:t>
                  </w:r>
                </w:p>
              </w:tc>
            </w:tr>
            <w:tr>
              <w:tc>
                <w:tcPr>
                  <w:tcW w:type="dxa" w:w="157"/>
                  <w:vMerge/>
                  <w:tcBorders>
                    <w:top w:val="single" w:color="000000" w:sz="4"/>
                    <w:left w:val="single" w:color="000000" w:sz="4"/>
                    <w:bottom w:val="singl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轴距（</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3300≤</w:t>
                  </w:r>
                  <w:r>
                    <w:rPr>
                      <w:rFonts w:ascii="仿宋_GB2312" w:hAnsi="仿宋_GB2312" w:cs="仿宋_GB2312" w:eastAsia="仿宋_GB2312"/>
                      <w:sz w:val="20"/>
                      <w:color w:val="000000"/>
                    </w:rPr>
                    <w:t>轴距</w:t>
                  </w:r>
                  <w:r>
                    <w:rPr>
                      <w:rFonts w:ascii="仿宋_GB2312" w:hAnsi="仿宋_GB2312" w:cs="仿宋_GB2312" w:eastAsia="仿宋_GB2312"/>
                      <w:sz w:val="20"/>
                      <w:color w:val="000000"/>
                    </w:rPr>
                    <w:t>≤3366</w:t>
                  </w:r>
                </w:p>
              </w:tc>
            </w:tr>
            <w:tr>
              <w:tc>
                <w:tcPr>
                  <w:tcW w:type="dxa" w:w="157"/>
                  <w:vMerge/>
                  <w:tcBorders>
                    <w:top w:val="single" w:color="000000" w:sz="4"/>
                    <w:left w:val="single" w:color="000000" w:sz="4"/>
                    <w:bottom w:val="singl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长</w:t>
                  </w:r>
                  <w:r>
                    <w:rPr>
                      <w:rFonts w:ascii="仿宋_GB2312" w:hAnsi="仿宋_GB2312" w:cs="仿宋_GB2312" w:eastAsia="仿宋_GB2312"/>
                      <w:sz w:val="20"/>
                      <w:color w:val="000000"/>
                    </w:rPr>
                    <w:t>x</w:t>
                  </w:r>
                  <w:r>
                    <w:rPr>
                      <w:rFonts w:ascii="仿宋_GB2312" w:hAnsi="仿宋_GB2312" w:cs="仿宋_GB2312" w:eastAsia="仿宋_GB2312"/>
                      <w:sz w:val="20"/>
                      <w:color w:val="000000"/>
                    </w:rPr>
                    <w:t>宽</w:t>
                  </w:r>
                  <w:r>
                    <w:rPr>
                      <w:rFonts w:ascii="仿宋_GB2312" w:hAnsi="仿宋_GB2312" w:cs="仿宋_GB2312" w:eastAsia="仿宋_GB2312"/>
                      <w:sz w:val="20"/>
                      <w:color w:val="000000"/>
                    </w:rPr>
                    <w:t>x</w:t>
                  </w:r>
                  <w:r>
                    <w:rPr>
                      <w:rFonts w:ascii="仿宋_GB2312" w:hAnsi="仿宋_GB2312" w:cs="仿宋_GB2312" w:eastAsia="仿宋_GB2312"/>
                      <w:sz w:val="20"/>
                      <w:color w:val="000000"/>
                    </w:rPr>
                    <w:t>高（</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≤5498x2296x2545</w:t>
                  </w:r>
                </w:p>
              </w:tc>
            </w:tr>
            <w:tr>
              <w:tc>
                <w:tcPr>
                  <w:tcW w:type="dxa" w:w="157"/>
                  <w:vMerge/>
                  <w:tcBorders>
                    <w:top w:val="single" w:color="000000" w:sz="4"/>
                    <w:left w:val="single" w:color="000000" w:sz="4"/>
                    <w:bottom w:val="single" w:color="000000" w:sz="4"/>
                    <w:right w:val="single" w:color="000000" w:sz="4"/>
                  </w:tcBorders>
                </w:tcPr>
                <w:p/>
              </w:tc>
              <w:tc>
                <w:tcPr>
                  <w:tcW w:type="dxa" w:w="12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left"/>
                  </w:pPr>
                  <w:r>
                    <w:rPr>
                      <w:rFonts w:ascii="仿宋_GB2312" w:hAnsi="仿宋_GB2312" w:cs="仿宋_GB2312" w:eastAsia="仿宋_GB2312"/>
                      <w:sz w:val="19"/>
                      <w:color w:val="000000"/>
                    </w:rPr>
                    <w:t>发动机</w:t>
                  </w:r>
                </w:p>
              </w:tc>
              <w:tc>
                <w:tcPr>
                  <w:tcW w:type="dxa" w:w="1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型式</w:t>
                  </w:r>
                </w:p>
              </w:tc>
              <w:tc>
                <w:tcPr>
                  <w:tcW w:type="dxa" w:w="94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 xml:space="preserve"> 柴油发动机</w:t>
                  </w:r>
                </w:p>
              </w:tc>
            </w:tr>
            <w:tr>
              <w:tc>
                <w:tcPr>
                  <w:tcW w:type="dxa" w:w="157"/>
                  <w:vMerge/>
                  <w:tcBorders>
                    <w:top w:val="single" w:color="000000" w:sz="4"/>
                    <w:left w:val="single" w:color="000000" w:sz="4"/>
                    <w:bottom w:val="single" w:color="000000" w:sz="4"/>
                    <w:right w:val="single" w:color="000000" w:sz="4"/>
                  </w:tcBorders>
                </w:tcPr>
                <w:p/>
              </w:tc>
              <w:tc>
                <w:tcPr>
                  <w:tcW w:type="dxa" w:w="120"/>
                  <w:vMerge/>
                  <w:tcBorders>
                    <w:top w:val="single" w:color="000000" w:sz="4"/>
                    <w:left w:val="single" w:color="000000" w:sz="4"/>
                    <w:bottom w:val="single" w:color="000000" w:sz="4"/>
                    <w:right w:val="single" w:color="000000" w:sz="4"/>
                  </w:tcBorders>
                </w:tcPr>
                <w:p/>
              </w:tc>
              <w:tc>
                <w:tcPr>
                  <w:tcW w:type="dxa" w:w="1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排量（</w:t>
                  </w:r>
                  <w:r>
                    <w:rPr>
                      <w:rFonts w:ascii="仿宋_GB2312" w:hAnsi="仿宋_GB2312" w:cs="仿宋_GB2312" w:eastAsia="仿宋_GB2312"/>
                      <w:sz w:val="20"/>
                      <w:color w:val="000000"/>
                    </w:rPr>
                    <w:t>ml</w:t>
                  </w:r>
                  <w:r>
                    <w:rPr>
                      <w:rFonts w:ascii="仿宋_GB2312" w:hAnsi="仿宋_GB2312" w:cs="仿宋_GB2312" w:eastAsia="仿宋_GB2312"/>
                      <w:sz w:val="20"/>
                      <w:color w:val="000000"/>
                    </w:rPr>
                    <w:t>）</w:t>
                  </w:r>
                </w:p>
              </w:tc>
              <w:tc>
                <w:tcPr>
                  <w:tcW w:type="dxa" w:w="94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≥1996</w:t>
                  </w:r>
                </w:p>
              </w:tc>
            </w:tr>
            <w:tr>
              <w:tc>
                <w:tcPr>
                  <w:tcW w:type="dxa" w:w="157"/>
                  <w:vMerge/>
                  <w:tcBorders>
                    <w:top w:val="single" w:color="000000" w:sz="4"/>
                    <w:left w:val="single" w:color="000000" w:sz="4"/>
                    <w:bottom w:val="single" w:color="000000" w:sz="4"/>
                    <w:right w:val="single" w:color="000000" w:sz="4"/>
                  </w:tcBorders>
                </w:tcPr>
                <w:p/>
              </w:tc>
              <w:tc>
                <w:tcPr>
                  <w:tcW w:type="dxa" w:w="120"/>
                  <w:vMerge/>
                  <w:tcBorders>
                    <w:top w:val="single" w:color="000000" w:sz="4"/>
                    <w:left w:val="single" w:color="000000" w:sz="4"/>
                    <w:bottom w:val="single" w:color="000000" w:sz="4"/>
                    <w:right w:val="single" w:color="000000" w:sz="4"/>
                  </w:tcBorders>
                </w:tcPr>
                <w:p/>
              </w:tc>
              <w:tc>
                <w:tcPr>
                  <w:tcW w:type="dxa" w:w="1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国六排放</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single" w:color="000000" w:sz="4"/>
                    <w:left w:val="single" w:color="000000" w:sz="4"/>
                    <w:bottom w:val="single" w:color="000000" w:sz="4"/>
                    <w:right w:val="single" w:color="000000" w:sz="4"/>
                  </w:tcBorders>
                </w:tcPr>
                <w:p/>
              </w:tc>
              <w:tc>
                <w:tcPr>
                  <w:tcW w:type="dxa" w:w="120"/>
                  <w:vMerge/>
                  <w:tcBorders>
                    <w:top w:val="single" w:color="000000" w:sz="4"/>
                    <w:left w:val="single" w:color="000000" w:sz="4"/>
                    <w:bottom w:val="single" w:color="000000" w:sz="4"/>
                    <w:right w:val="single" w:color="000000" w:sz="4"/>
                  </w:tcBorders>
                </w:tcPr>
                <w:p/>
              </w:tc>
              <w:tc>
                <w:tcPr>
                  <w:tcW w:type="dxa" w:w="1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额定功率（</w:t>
                  </w:r>
                  <w:r>
                    <w:rPr>
                      <w:rFonts w:ascii="仿宋_GB2312" w:hAnsi="仿宋_GB2312" w:cs="仿宋_GB2312" w:eastAsia="仿宋_GB2312"/>
                      <w:sz w:val="20"/>
                      <w:color w:val="000000"/>
                    </w:rPr>
                    <w:t>ps/rpm</w:t>
                  </w:r>
                  <w:r>
                    <w:rPr>
                      <w:rFonts w:ascii="仿宋_GB2312" w:hAnsi="仿宋_GB2312" w:cs="仿宋_GB2312" w:eastAsia="仿宋_GB2312"/>
                      <w:sz w:val="20"/>
                      <w:color w:val="000000"/>
                    </w:rPr>
                    <w:t>）</w:t>
                  </w:r>
                </w:p>
              </w:tc>
              <w:tc>
                <w:tcPr>
                  <w:tcW w:type="dxa" w:w="94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≥105/3500</w:t>
                  </w:r>
                </w:p>
              </w:tc>
            </w:tr>
            <w:tr>
              <w:tc>
                <w:tcPr>
                  <w:tcW w:type="dxa" w:w="157"/>
                  <w:vMerge/>
                  <w:tcBorders>
                    <w:top w:val="single" w:color="000000" w:sz="4"/>
                    <w:left w:val="single" w:color="000000" w:sz="4"/>
                    <w:bottom w:val="single" w:color="000000" w:sz="4"/>
                    <w:right w:val="single" w:color="000000" w:sz="4"/>
                  </w:tcBorders>
                </w:tcPr>
                <w:p/>
              </w:tc>
              <w:tc>
                <w:tcPr>
                  <w:tcW w:type="dxa" w:w="120"/>
                  <w:vMerge/>
                  <w:tcBorders>
                    <w:top w:val="single" w:color="000000" w:sz="4"/>
                    <w:left w:val="single" w:color="000000" w:sz="4"/>
                    <w:bottom w:val="single" w:color="000000" w:sz="4"/>
                    <w:right w:val="single" w:color="000000" w:sz="4"/>
                  </w:tcBorders>
                </w:tcPr>
                <w:p/>
              </w:tc>
              <w:tc>
                <w:tcPr>
                  <w:tcW w:type="dxa" w:w="1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最大扭矩（</w:t>
                  </w:r>
                  <w:r>
                    <w:rPr>
                      <w:rFonts w:ascii="仿宋_GB2312" w:hAnsi="仿宋_GB2312" w:cs="仿宋_GB2312" w:eastAsia="仿宋_GB2312"/>
                      <w:sz w:val="20"/>
                      <w:color w:val="000000"/>
                    </w:rPr>
                    <w:t>N.m/rpm</w:t>
                  </w:r>
                  <w:r>
                    <w:rPr>
                      <w:rFonts w:ascii="仿宋_GB2312" w:hAnsi="仿宋_GB2312" w:cs="仿宋_GB2312" w:eastAsia="仿宋_GB2312"/>
                      <w:sz w:val="20"/>
                      <w:color w:val="000000"/>
                    </w:rPr>
                    <w:t>）</w:t>
                  </w:r>
                </w:p>
              </w:tc>
              <w:tc>
                <w:tcPr>
                  <w:tcW w:type="dxa" w:w="94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≥355/1400-3200</w:t>
                  </w:r>
                </w:p>
              </w:tc>
            </w:tr>
            <w:tr>
              <w:tc>
                <w:tcPr>
                  <w:tcW w:type="dxa" w:w="157"/>
                  <w:vMerge/>
                  <w:tcBorders>
                    <w:top w:val="single" w:color="000000" w:sz="4"/>
                    <w:left w:val="single" w:color="000000" w:sz="4"/>
                    <w:bottom w:val="single" w:color="000000" w:sz="4"/>
                    <w:right w:val="single" w:color="000000" w:sz="4"/>
                  </w:tcBorders>
                </w:tcPr>
                <w:p/>
              </w:tc>
              <w:tc>
                <w:tcPr>
                  <w:tcW w:type="dxa" w:w="120"/>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变速箱</w:t>
                  </w:r>
                </w:p>
              </w:tc>
              <w:tc>
                <w:tcPr>
                  <w:tcW w:type="dxa" w:w="1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自动挡</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≥8AT</w:t>
                  </w:r>
                </w:p>
              </w:tc>
            </w:tr>
            <w:tr>
              <w:tc>
                <w:tcPr>
                  <w:tcW w:type="dxa" w:w="157"/>
                  <w:vMerge/>
                  <w:tcBorders>
                    <w:top w:val="single" w:color="000000" w:sz="4"/>
                    <w:left w:val="single" w:color="000000" w:sz="4"/>
                    <w:bottom w:val="singl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驱动形式</w:t>
                  </w:r>
                </w:p>
              </w:tc>
              <w:tc>
                <w:tcPr>
                  <w:tcW w:type="dxa" w:w="94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两驱</w:t>
                  </w:r>
                </w:p>
              </w:tc>
            </w:tr>
            <w:tr>
              <w:tc>
                <w:tcPr>
                  <w:tcW w:type="dxa" w:w="157"/>
                  <w:vMerge/>
                  <w:tcBorders>
                    <w:top w:val="single" w:color="000000" w:sz="4"/>
                    <w:left w:val="single" w:color="000000" w:sz="4"/>
                    <w:bottom w:val="singl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后轮胎形式</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≥后单胎</w:t>
                  </w:r>
                </w:p>
              </w:tc>
            </w:tr>
            <w:tr>
              <w:tc>
                <w:tcPr>
                  <w:tcW w:type="dxa" w:w="157"/>
                  <w:vMerge/>
                  <w:tcBorders>
                    <w:top w:val="single" w:color="000000" w:sz="4"/>
                    <w:left w:val="single" w:color="000000" w:sz="4"/>
                    <w:bottom w:val="singl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最高车速（</w:t>
                  </w:r>
                  <w:r>
                    <w:rPr>
                      <w:rFonts w:ascii="仿宋_GB2312" w:hAnsi="仿宋_GB2312" w:cs="仿宋_GB2312" w:eastAsia="仿宋_GB2312"/>
                      <w:sz w:val="20"/>
                      <w:color w:val="000000"/>
                    </w:rPr>
                    <w:t>km/h</w:t>
                  </w:r>
                  <w:r>
                    <w:rPr>
                      <w:rFonts w:ascii="仿宋_GB2312" w:hAnsi="仿宋_GB2312" w:cs="仿宋_GB2312" w:eastAsia="仿宋_GB2312"/>
                      <w:sz w:val="20"/>
                      <w:color w:val="000000"/>
                    </w:rPr>
                    <w:t>）</w:t>
                  </w:r>
                </w:p>
              </w:tc>
              <w:tc>
                <w:tcPr>
                  <w:tcW w:type="dxa" w:w="94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≥150</w:t>
                  </w:r>
                </w:p>
              </w:tc>
            </w:tr>
            <w:tr>
              <w:tc>
                <w:tcPr>
                  <w:tcW w:type="dxa" w:w="157"/>
                  <w:vMerge/>
                  <w:tcBorders>
                    <w:top w:val="single" w:color="000000" w:sz="4"/>
                    <w:left w:val="single" w:color="000000" w:sz="4"/>
                    <w:bottom w:val="singl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燃油箱容积（</w:t>
                  </w:r>
                  <w:r>
                    <w:rPr>
                      <w:rFonts w:ascii="仿宋_GB2312" w:hAnsi="仿宋_GB2312" w:cs="仿宋_GB2312" w:eastAsia="仿宋_GB2312"/>
                      <w:sz w:val="20"/>
                      <w:color w:val="000000"/>
                    </w:rPr>
                    <w:t>L</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尿素罐容积（</w:t>
                  </w:r>
                  <w:r>
                    <w:rPr>
                      <w:rFonts w:ascii="仿宋_GB2312" w:hAnsi="仿宋_GB2312" w:cs="仿宋_GB2312" w:eastAsia="仿宋_GB2312"/>
                      <w:sz w:val="20"/>
                      <w:color w:val="000000"/>
                    </w:rPr>
                    <w:t>L</w:t>
                  </w:r>
                  <w:r>
                    <w:rPr>
                      <w:rFonts w:ascii="仿宋_GB2312" w:hAnsi="仿宋_GB2312" w:cs="仿宋_GB2312" w:eastAsia="仿宋_GB2312"/>
                      <w:sz w:val="20"/>
                      <w:color w:val="000000"/>
                    </w:rPr>
                    <w:t>）</w:t>
                  </w:r>
                </w:p>
              </w:tc>
              <w:tc>
                <w:tcPr>
                  <w:tcW w:type="dxa" w:w="94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≥80/18</w:t>
                  </w:r>
                </w:p>
              </w:tc>
            </w:tr>
            <w:tr>
              <w:tc>
                <w:tcPr>
                  <w:tcW w:type="dxa" w:w="157"/>
                  <w:vMerge/>
                  <w:tcBorders>
                    <w:top w:val="single" w:color="000000" w:sz="4"/>
                    <w:left w:val="single" w:color="000000" w:sz="4"/>
                    <w:bottom w:val="singl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制动系统</w:t>
                  </w:r>
                </w:p>
              </w:tc>
              <w:tc>
                <w:tcPr>
                  <w:tcW w:type="dxa" w:w="94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前后盘式制动</w:t>
                  </w:r>
                </w:p>
              </w:tc>
            </w:tr>
            <w:tr>
              <w:tc>
                <w:tcPr>
                  <w:tcW w:type="dxa" w:w="157"/>
                  <w:vMerge/>
                  <w:tcBorders>
                    <w:top w:val="single" w:color="000000" w:sz="4"/>
                    <w:left w:val="single" w:color="000000" w:sz="4"/>
                    <w:bottom w:val="singl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悬架系统</w:t>
                  </w:r>
                </w:p>
              </w:tc>
              <w:tc>
                <w:tcPr>
                  <w:tcW w:type="dxa" w:w="94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前麦弗逊独立悬架</w:t>
                  </w:r>
                  <w:r>
                    <w:rPr>
                      <w:rFonts w:ascii="仿宋_GB2312" w:hAnsi="仿宋_GB2312" w:cs="仿宋_GB2312" w:eastAsia="仿宋_GB2312"/>
                      <w:sz w:val="20"/>
                      <w:color w:val="000000"/>
                    </w:rPr>
                    <w:t>/</w:t>
                  </w:r>
                  <w:r>
                    <w:rPr>
                      <w:rFonts w:ascii="仿宋_GB2312" w:hAnsi="仿宋_GB2312" w:cs="仿宋_GB2312" w:eastAsia="仿宋_GB2312"/>
                      <w:sz w:val="20"/>
                      <w:color w:val="000000"/>
                    </w:rPr>
                    <w:t>后悬钢板弹簧非独立悬挂</w:t>
                  </w:r>
                </w:p>
              </w:tc>
            </w:tr>
            <w:tr>
              <w:tc>
                <w:tcPr>
                  <w:tcW w:type="dxa" w:w="157"/>
                  <w:vMerge/>
                  <w:tcBorders>
                    <w:top w:val="single" w:color="000000" w:sz="4"/>
                    <w:left w:val="single" w:color="000000" w:sz="4"/>
                    <w:bottom w:val="singl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轮胎规格</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≥215/65R16LT</w:t>
                  </w:r>
                </w:p>
              </w:tc>
            </w:tr>
            <w:tr>
              <w:tc>
                <w:tcPr>
                  <w:tcW w:type="dxa" w:w="157"/>
                  <w:tcBorders>
                    <w:top w:val="singl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2394"/>
                  <w:gridSpan w:val="3"/>
                  <w:tcBorders>
                    <w:top w:val="single" w:color="000000" w:sz="4"/>
                    <w:left w:val="single" w:color="000000" w:sz="4"/>
                    <w:bottom w:val="single" w:color="000000" w:sz="4"/>
                    <w:right w:val="single" w:color="000000" w:sz="4"/>
                  </w:tcBorders>
                  <w:shd w:fill="D9D9D9"/>
                  <w:tcMar>
                    <w:top w:type="dxa" w:w="15"/>
                    <w:left w:type="dxa" w:w="15"/>
                    <w:right w:type="dxa" w:w="15"/>
                  </w:tcMar>
                  <w:vAlign w:val="top"/>
                </w:tcPr>
                <w:p>
                  <w:pPr>
                    <w:pStyle w:val="null5"/>
                    <w:jc w:val="left"/>
                  </w:pPr>
                  <w:r>
                    <w:rPr>
                      <w:rFonts w:ascii="仿宋_GB2312" w:hAnsi="仿宋_GB2312" w:cs="仿宋_GB2312" w:eastAsia="仿宋_GB2312"/>
                      <w:sz w:val="19"/>
                      <w:color w:val="000000"/>
                    </w:rPr>
                    <w:t>外观与内饰</w:t>
                  </w:r>
                </w:p>
              </w:tc>
            </w:tr>
            <w:tr>
              <w:tc>
                <w:tcPr>
                  <w:tcW w:type="dxa" w:w="157"/>
                  <w:vMerge w:val="restart"/>
                  <w:tcBorders>
                    <w:top w:val="none" w:color="000000" w:sz="4"/>
                    <w:left w:val="single" w:color="000000" w:sz="4"/>
                    <w:bottom w:val="none" w:color="000000" w:sz="4"/>
                    <w:right w:val="single" w:color="000000" w:sz="4"/>
                  </w:tcBorders>
                  <w:shd w:fill="D9D9D9"/>
                  <w:tcMar>
                    <w:top w:type="dxa" w:w="15"/>
                    <w:left w:type="dxa" w:w="15"/>
                    <w:right w:type="dxa" w:w="15"/>
                  </w:tcMar>
                  <w:vAlign w:val="top"/>
                </w:tcPr>
                <w:p>
                  <w:pPr>
                    <w:pStyle w:val="null5"/>
                    <w:jc w:val="left"/>
                  </w:pPr>
                  <w:r>
                    <w:rPr>
                      <w:rFonts w:ascii="仿宋_GB2312" w:hAnsi="仿宋_GB2312" w:cs="仿宋_GB2312" w:eastAsia="仿宋_GB2312"/>
                      <w:sz w:val="19"/>
                      <w:color w:val="000000"/>
                    </w:rPr>
                    <w:t>配置信息</w:t>
                  </w: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前后雾灯</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右侧移门</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铝合金轮毂</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一体式后踏步</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驾驶舱一体式仪表盘</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米色全包覆内饰+耐脏顶内饰</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皮质+织物座椅面料</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灰色隐私玻璃（侧窗、尾门窗）</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2394"/>
                  <w:gridSpan w:val="3"/>
                  <w:tcBorders>
                    <w:top w:val="single" w:color="000000" w:sz="4"/>
                    <w:left w:val="single" w:color="000000" w:sz="4"/>
                    <w:bottom w:val="single" w:color="000000" w:sz="4"/>
                    <w:right w:val="single" w:color="000000" w:sz="4"/>
                  </w:tcBorders>
                  <w:shd w:fill="D9D9D9"/>
                  <w:tcMar>
                    <w:top w:type="dxa" w:w="15"/>
                    <w:left w:type="dxa" w:w="15"/>
                    <w:right w:type="dxa" w:w="15"/>
                  </w:tcMar>
                  <w:vAlign w:val="top"/>
                </w:tcPr>
                <w:p>
                  <w:pPr>
                    <w:pStyle w:val="null5"/>
                    <w:jc w:val="left"/>
                  </w:pPr>
                  <w:r>
                    <w:rPr>
                      <w:rFonts w:ascii="仿宋_GB2312" w:hAnsi="仿宋_GB2312" w:cs="仿宋_GB2312" w:eastAsia="仿宋_GB2312"/>
                      <w:sz w:val="19"/>
                      <w:color w:val="000000"/>
                    </w:rPr>
                    <w:t>安全操控</w:t>
                  </w:r>
                </w:p>
              </w:tc>
            </w:tr>
            <w:tr>
              <w:tc>
                <w:tcPr>
                  <w:tcW w:type="dxa" w:w="157"/>
                  <w:vMerge w:val="restart"/>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ESP+HHC</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胎压监测</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后倒车雷达</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高清倒车影像</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驾驶座安全气囊</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副驾驶安全气囊</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EPS电子助力转向</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驾驶员安全带未系报警</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全车座椅三点式安全带</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2394"/>
                  <w:gridSpan w:val="3"/>
                  <w:tcBorders>
                    <w:top w:val="single" w:color="000000" w:sz="4"/>
                    <w:left w:val="single" w:color="000000" w:sz="4"/>
                    <w:bottom w:val="single" w:color="000000" w:sz="4"/>
                    <w:right w:val="single" w:color="000000" w:sz="4"/>
                  </w:tcBorders>
                  <w:shd w:fill="D9D9D9"/>
                  <w:tcMar>
                    <w:top w:type="dxa" w:w="15"/>
                    <w:left w:type="dxa" w:w="15"/>
                    <w:right w:type="dxa" w:w="15"/>
                  </w:tcMar>
                  <w:vAlign w:val="top"/>
                </w:tcPr>
                <w:p>
                  <w:pPr>
                    <w:pStyle w:val="null5"/>
                    <w:jc w:val="left"/>
                  </w:pPr>
                  <w:r>
                    <w:rPr>
                      <w:rFonts w:ascii="仿宋_GB2312" w:hAnsi="仿宋_GB2312" w:cs="仿宋_GB2312" w:eastAsia="仿宋_GB2312"/>
                      <w:sz w:val="19"/>
                      <w:color w:val="000000"/>
                    </w:rPr>
                    <w:t>舒适娱乐</w:t>
                  </w:r>
                </w:p>
              </w:tc>
            </w:tr>
            <w:tr>
              <w:tc>
                <w:tcPr>
                  <w:tcW w:type="dxa" w:w="157"/>
                  <w:vMerge w:val="restart"/>
                  <w:tcBorders>
                    <w:top w:val="none" w:color="000000" w:sz="4"/>
                    <w:left w:val="single" w:color="000000" w:sz="4"/>
                    <w:bottom w:val="none" w:color="000000" w:sz="4"/>
                    <w:right w:val="single" w:color="000000" w:sz="4"/>
                  </w:tcBorders>
                  <w:shd w:fill="D9D9D9"/>
                  <w:tcMar>
                    <w:top w:type="dxa" w:w="15"/>
                    <w:left w:type="dxa" w:w="15"/>
                    <w:right w:type="dxa" w:w="15"/>
                  </w:tcMar>
                  <w:vAlign w:val="top"/>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电动调节带加热外后视镜（集成转向灯）</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前排电动窗</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尾窗电加热除霜</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多功能方向盘+蓝牙+定速巡航</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同平面推拉窗（右移门及对称的左侧共2扇窗）</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遥控钥匙（2把）</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vMerge/>
                  <w:tcBorders>
                    <w:top w:val="none" w:color="000000" w:sz="4"/>
                    <w:left w:val="single" w:color="000000" w:sz="4"/>
                    <w:bottom w:val="none" w:color="000000" w:sz="4"/>
                    <w:right w:val="single" w:color="000000" w:sz="4"/>
                  </w:tcBorders>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熄火自动开锁+内控中锁+自动关闭前照灯</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无钥匙进入及一键启动（仅8AT）</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大功率冷暖前后空调</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高清触控大屏</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后排乘客一体式座椅</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r>
              <w:tc>
                <w:tcPr>
                  <w:tcW w:type="dxa" w:w="157"/>
                  <w:tcBorders>
                    <w:top w:val="none" w:color="000000" w:sz="4"/>
                    <w:left w:val="single" w:color="000000" w:sz="4"/>
                    <w:bottom w:val="none" w:color="000000" w:sz="4"/>
                    <w:right w:val="single" w:color="000000" w:sz="4"/>
                  </w:tcBorders>
                  <w:shd w:fill="D9D9D9"/>
                  <w:tcMar>
                    <w:top w:type="dxa" w:w="15"/>
                    <w:left w:type="dxa" w:w="15"/>
                    <w:right w:type="dxa" w:w="15"/>
                  </w:tcMar>
                  <w:vAlign w:val="bottom"/>
                </w:tcPr>
                <w:p/>
              </w:tc>
              <w:tc>
                <w:tcPr>
                  <w:tcW w:type="dxa" w:w="1448"/>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left"/>
                  </w:pPr>
                  <w:r>
                    <w:rPr>
                      <w:rFonts w:ascii="仿宋_GB2312" w:hAnsi="仿宋_GB2312" w:cs="仿宋_GB2312" w:eastAsia="仿宋_GB2312"/>
                      <w:sz w:val="19"/>
                      <w:color w:val="000000"/>
                    </w:rPr>
                    <w:t>全尺寸备胎（钢轮）+随车工具包</w:t>
                  </w:r>
                </w:p>
              </w:tc>
              <w:tc>
                <w:tcPr>
                  <w:tcW w:type="dxa" w:w="9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19"/>
                      <w:color w:val="000000"/>
                    </w:rPr>
                    <w:t>●</w:t>
                  </w:r>
                </w:p>
              </w:tc>
            </w:tr>
          </w:tbl>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技术参数满足程度</w:t>
            </w:r>
          </w:p>
        </w:tc>
        <w:tc>
          <w:tcPr>
            <w:tcW w:type="dxa" w:w="3115"/>
          </w:tcPr>
          <w:p>
            <w:pPr>
              <w:pStyle w:val="null5"/>
              <w:jc w:val="left"/>
            </w:pPr>
            <w:r>
              <w:rPr>
                <w:rFonts w:ascii="仿宋_GB2312" w:hAnsi="仿宋_GB2312" w:cs="仿宋_GB2312" w:eastAsia="仿宋_GB2312"/>
              </w:rPr>
              <w:t>评标委员会根据投标人提供的所投车辆（本项目招标文件第三章招标内容与要求中车辆“具体技术（参数）要求”中标注▲号项）满足招标文件要求的技术参数的证明材料（第三方出具的有效检验检测报告或其他佐证材料）进行评定打分，每有一项不满足招标文件参数要求的扣1分，扣完为止；不提供或提供未满足要求的不得分。投标文件中提供佐证材料复印件。</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项目实施方案</w:t>
            </w:r>
          </w:p>
        </w:tc>
        <w:tc>
          <w:tcPr>
            <w:tcW w:type="dxa" w:w="3115"/>
          </w:tcPr>
          <w:p>
            <w:pPr>
              <w:pStyle w:val="null5"/>
              <w:jc w:val="left"/>
            </w:pPr>
            <w:r>
              <w:rPr>
                <w:rFonts w:ascii="仿宋_GB2312" w:hAnsi="仿宋_GB2312" w:cs="仿宋_GB2312" w:eastAsia="仿宋_GB2312"/>
              </w:rPr>
              <w:t>项目实施方案：根据供应商针对本项目制定的项目实施方案，包含详细的供货进度计划 、供货时间保障措施、自然灾害突发事件应急供货措施方案，内容完全满足以上要求并且详细、切实可行的得15分（每小项分值为5分，每缺一项扣5分），每小项如出现凭空编造、内容前后不一致、逻辑混乱、不符合采购需求、内容缺失、内容不合理的情况，每出现一种情况扣2分，每小项最多扣5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质量保障措施</w:t>
            </w:r>
          </w:p>
        </w:tc>
        <w:tc>
          <w:tcPr>
            <w:tcW w:type="dxa" w:w="3115"/>
          </w:tcPr>
          <w:p>
            <w:pPr>
              <w:pStyle w:val="null5"/>
              <w:jc w:val="left"/>
            </w:pPr>
            <w:r>
              <w:rPr>
                <w:rFonts w:ascii="仿宋_GB2312" w:hAnsi="仿宋_GB2312" w:cs="仿宋_GB2312" w:eastAsia="仿宋_GB2312"/>
              </w:rPr>
              <w:t>投标人针对本项目特点，结合采购人的需求，提出完整合理的质量保证措施，包含但不限于车辆质量保证、车辆安全性及作业质量等方面，内容完全满足以上要求并且保障措施完善科学，合理可行的得10分（每小项分值为5分，每缺一项扣5分），每小项如出现凭空编造、内容前后不一致、逻辑混乱、不符合采购需求、内容缺失、内容不合理的情况，每出现一种情况扣2分，每小项最多扣5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应急方案</w:t>
            </w:r>
          </w:p>
        </w:tc>
        <w:tc>
          <w:tcPr>
            <w:tcW w:type="dxa" w:w="3115"/>
          </w:tcPr>
          <w:p>
            <w:pPr>
              <w:pStyle w:val="null5"/>
              <w:jc w:val="left"/>
            </w:pPr>
            <w:r>
              <w:rPr>
                <w:rFonts w:ascii="仿宋_GB2312" w:hAnsi="仿宋_GB2312" w:cs="仿宋_GB2312" w:eastAsia="仿宋_GB2312"/>
              </w:rPr>
              <w:t>根据供应商提供的应急预案进行评价，内容包括但不限于以下内容，提供针对可能出现的紧急情况、提供相应的应急预案，内容完全满足以上要求并且详细、切实可行的得10分（每小项分值为5分，每缺一项扣5分），每小项如出现凭空编造、内容前后不一致、逻辑混乱、不符合采购需求、内容缺失、内容不合理的情况，每出现一种情况扣2分，每小项最多扣5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根据投标人针对本项目的培训方案进行综合评定打分，方案内容包括但不限于：培训内容、培训方式 、培训计划、培训团队人员配置、培训质量保障等，内容完全满足以上要求并且方案内容符合本项目实际需求的得5分（每小项分值为1分，每缺一项扣1分），每小项如出现凭空编造、内容前后不一致、逻辑混乱、不符合采购需求、内容缺失、内容不合理的情况，每出现一种情况扣0.2分，每小项最多扣1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投标人近年（2022年1月1日至今，以签订合同时间为准）类似项目业绩，每提供一份车辆销售业绩得2.5分，最高得5分。 （投标文件须附合同原件扫描件）</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投标人针对本项目特点，结合采购人的需求，提出完整合理有针对性的售后服务方案，包含但不限于保修服务、车辆上户服务、售后技术支持、故障检测及排除、故障解决等： 内容完全满足以上要求并且方案内容完整合理得15分（每小项分值为3分，每缺一项扣3分），每小项如出现凭空编造、内容前后不一致、逻辑混乱、不符合采购需求、内容缺失、内容不合理的情况，每出现一种情况扣1分，每小项最多扣3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