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科尔沁区国民经济和社会发展第十五个五年规划及三个课题报告项目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通辽市科尔沁区发展和改革委员会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内蒙古睿广建设项目管理有限公司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KEQQZCS-G-F-250021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内蒙古睿广建设项目管理有限公司</w:t>
      </w:r>
      <w:r>
        <w:rPr>
          <w:rFonts w:ascii="仿宋_GB2312" w:hAnsi="仿宋_GB2312" w:cs="仿宋_GB2312" w:eastAsia="仿宋_GB2312"/>
        </w:rPr>
        <w:t xml:space="preserve"> 受 </w:t>
      </w:r>
      <w:r>
        <w:rPr>
          <w:rFonts w:ascii="仿宋_GB2312" w:hAnsi="仿宋_GB2312" w:cs="仿宋_GB2312" w:eastAsia="仿宋_GB2312"/>
        </w:rPr>
        <w:t>通辽市科尔沁区发展和改革委员会</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科尔沁区国民经济和社会发展第十五个五年规划及三个课题报告项目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科尔沁区国民经济和社会发展第十五个五年规划及三个课题报告项目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KEQQZCS-G-F-250021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150502[2025]00216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科尔沁区国民经济和社会发展第十五个五年规划及三个课题报告项目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内蒙古睿广建设项目管理有限公司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内蒙古自治区呼和浩特市新城区科尔沁快速路与南店街交汇处绿地新都汇智海大厦A4号楼1203室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15764756055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通辽市科尔沁区发展和改革委员会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内蒙古通辽市霍林河大街908号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028000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任欢</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15750516611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代理服务费收费标准：按照内工建协[2022]34号文件中载明的标准收取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通辽市科尔沁区发展和改革委员会</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内蒙古睿广建设项目管理有限公司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通辽市财政局关于印发《通辽市政府采购“双向承诺+信用管理”工作方案》的通知（通财购〔2023〕195号）文件规定，提供《通辽市政府采购供应商信用承诺函》（格式详见公告附件），无需提交证明材料。采购人有权在签订合同前要求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十五五”时期是我国基本实现社会主义现代化承上启下的关键攻坚期，也是推动通辽市科尔沁区高质量发展的关键时期。开展科尔沁区国民经济和社会发展第十五个五年规划及三个课题报告规划编制工作，要求全面总结和分析科尔沁区现阶段社会经济发展情况，系统梳理“十四五”期间科尔沁区取得的发展成就和存在的不足，深入分析内外部环境与发展条件，确定“十五五”时期科尔沁区经济社会发展的指导思想、主要目标、战略定位、重点任务、重大项目等内容。在规划编制过程中，围绕第十五个五年规划及三个课题报告内容开展前期研究，形成科尔沁区未来五年经济社会发展的“基本思路”，将发展思路、目标任务、重大举措等内容落于纲要文本。在项目起草过程中，广泛听取各级、各部门、各领域意见建议，做好规划衔接和论证工作，最终形成高水平的“第十五个五年规划及三个课题报告”规划纲要。</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合同签订之日起15个月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通辽市辖区内</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1、签订合同具备实施条件后支付预付款，达到付款条件起30日，支付合同总金额的30.00%</w:t>
            </w:r>
          </w:p>
          <w:p>
            <w:pPr>
              <w:pStyle w:val="null5"/>
              <w:jc w:val="left"/>
            </w:pPr>
            <w:r>
              <w:rPr>
                <w:rFonts w:ascii="仿宋_GB2312" w:hAnsi="仿宋_GB2312" w:cs="仿宋_GB2312" w:eastAsia="仿宋_GB2312"/>
              </w:rPr>
              <w:t>2、“基本思路”通过会议审定后，达到付款条件起30日，支付合同总金额的20.00%</w:t>
            </w:r>
          </w:p>
          <w:p>
            <w:pPr>
              <w:pStyle w:val="null5"/>
              <w:jc w:val="left"/>
            </w:pPr>
            <w:r>
              <w:rPr>
                <w:rFonts w:ascii="仿宋_GB2312" w:hAnsi="仿宋_GB2312" w:cs="仿宋_GB2312" w:eastAsia="仿宋_GB2312"/>
              </w:rPr>
              <w:t>3、全部服务内容完成，按工作时序进度付款。，达到付款条件起30日，支付合同总金额的50.00%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标的名称：科尔沁区国民经济和社会发展第十五个五年规划及三个课题报告项目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sz w:val="24"/>
              </w:rPr>
              <w:t>“十五五”时期是我国基本实现社会主义现代化承上启下的关键攻坚期，也是推动通辽市科尔沁区高质量发展的关键时期。开展科尔沁区国民经济和社会发展第十五个五年规划及三个课题报告规划编制工作，要求全面总结和分析科尔沁区现阶段社会经济发展情况，系统梳理“十四五”期间科尔沁区取得的发展成就和存在的不足，深入分析内外部环境与发展条件，确定“十五五”时期科尔沁区经济社会发展的指导思想、主要目标、战略定位、重点任务、重大项目等内容。在规划编制过程中，围绕第十五个五年规划及三个课题报告内容开展前期研究，形成科尔沁区未来五年经济社会发展的“基本思路”，将发展思路、目标任务、重大举措等内容落于纲要文本。在项目起草过程中，广泛听取各级、各部门、各领域意见建议，做好规划衔接和论证工作，最终形成高水平的“第十五个五年规划及三个课题报告”规划纲要。</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对本项目的理解</w:t>
            </w:r>
          </w:p>
        </w:tc>
        <w:tc>
          <w:tcPr>
            <w:tcW w:type="dxa" w:w="3115"/>
          </w:tcPr>
          <w:p>
            <w:pPr>
              <w:pStyle w:val="null5"/>
              <w:jc w:val="left"/>
            </w:pPr>
            <w:r>
              <w:rPr>
                <w:rFonts w:ascii="仿宋_GB2312" w:hAnsi="仿宋_GB2312" w:cs="仿宋_GB2312" w:eastAsia="仿宋_GB2312"/>
              </w:rPr>
              <w:t>根据供应商对本项目的理解程度，包括但不限于，1、项目背景；2、项目意义；3、项目需求分析；投标人完全满足上述三项要求，内容齐全符合项目实际得15分，每有一项缺项或只有标题没有实质性内容得扣5分，每有一项内容存在缺陷或不足得扣1分，扣完为止，不计负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研究思路及研究内容</w:t>
            </w:r>
          </w:p>
        </w:tc>
        <w:tc>
          <w:tcPr>
            <w:tcW w:type="dxa" w:w="3115"/>
          </w:tcPr>
          <w:p>
            <w:pPr>
              <w:pStyle w:val="null5"/>
              <w:jc w:val="left"/>
            </w:pPr>
            <w:r>
              <w:rPr>
                <w:rFonts w:ascii="仿宋_GB2312" w:hAnsi="仿宋_GB2312" w:cs="仿宋_GB2312" w:eastAsia="仿宋_GB2312"/>
              </w:rPr>
              <w:t>根据投标人提供得研究思路及研究内容，包括但不限于：1、研究思路；2、研究内容；3、对现状发展的认知；4、规划编制方案；投标人完全满足上述四项要求，内容齐全符合项目实际得20分，每有一项缺项或只有标题没有实质性内容得扣5分，每有一项内容存在缺陷或不足得扣1分，扣完为止，不计负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针对本项目所做的质量保证措施，内容包括但不限于：1、质量保障体系；2、质量控制措施；3、质量管理机制；进行综合评分，每有一项缺项或只有标题没有实质性内容得扣3分，每有一项内容存在缺陷或不足得扣1分，扣完为止，不计负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工作进度计划</w:t>
            </w:r>
          </w:p>
        </w:tc>
        <w:tc>
          <w:tcPr>
            <w:tcW w:type="dxa" w:w="3115"/>
          </w:tcPr>
          <w:p>
            <w:pPr>
              <w:pStyle w:val="null5"/>
              <w:jc w:val="left"/>
            </w:pPr>
            <w:r>
              <w:rPr>
                <w:rFonts w:ascii="仿宋_GB2312" w:hAnsi="仿宋_GB2312" w:cs="仿宋_GB2312" w:eastAsia="仿宋_GB2312"/>
              </w:rPr>
              <w:t>根据投标人针对本项目所做的工作进度计划，内容包括但不限于：1、项目实施总进度计划；2、项目实施各阶段进度计划；3、每个进度计划的人员分工安排；进行综合评分，每有一项缺项或只有标题没有实质性内容得扣3分，每有一项内容存在缺陷或不足得扣1分，扣完为止，不计负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项目的重点、难点分析及措施</w:t>
            </w:r>
          </w:p>
        </w:tc>
        <w:tc>
          <w:tcPr>
            <w:tcW w:type="dxa" w:w="3115"/>
          </w:tcPr>
          <w:p>
            <w:pPr>
              <w:pStyle w:val="null5"/>
              <w:jc w:val="left"/>
            </w:pPr>
            <w:r>
              <w:rPr>
                <w:rFonts w:ascii="仿宋_GB2312" w:hAnsi="仿宋_GB2312" w:cs="仿宋_GB2312" w:eastAsia="仿宋_GB2312"/>
              </w:rPr>
              <w:t>根据投标人针对本项目所做的项目的重点、难点分析及措施，内容包括但不限于：1、供应商针对本项目的重点分析；2、供应商针对本项目的难点分析；3、针对重难点的应对措施；进行综合评分，每有一项缺项或只有标题没有实质性内容得扣4分，每有一项内容存在缺陷或不足得扣1分，扣完为止，不计负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人针对本项目所做的服务承诺，内容包括但不限于：1、项目服务保障措施；2、保密措施。进行综合评分，每有一项缺项或只有标题没有实质性内容得扣2.5分，每有一项内容存在缺陷或不足得扣1分，扣完为止，不计负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供应商近三年内（2022年01月至今）完成过类似项目业绩的（类似项目业绩指规划类业绩），每提供一个得2分，最多得8分；赋分条件：业绩指合同；未提供不计分。业绩日期以合同签订日期为准。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项目负责人能力和业绩</w:t>
            </w:r>
          </w:p>
        </w:tc>
        <w:tc>
          <w:tcPr>
            <w:tcW w:type="dxa" w:w="3115"/>
          </w:tcPr>
          <w:p>
            <w:pPr>
              <w:pStyle w:val="null5"/>
              <w:jc w:val="left"/>
            </w:pPr>
            <w:r>
              <w:rPr>
                <w:rFonts w:ascii="仿宋_GB2312" w:hAnsi="仿宋_GB2312" w:cs="仿宋_GB2312" w:eastAsia="仿宋_GB2312"/>
              </w:rPr>
              <w:t>项目负责人具备咨询工程师证书并且同时具有高级经济师的每提供一个得2分，最多得2分。未提供不得分。需提供2024年6月至开标截止时间任意连续三个月的缴纳社会保险的证明材料，新入职人员要求提供入职至投标截止前的缴纳社会保险的证明材料，退休人员需提供有效的与投标单位签订的劳动合同及退休证明。</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项目组其他人员配置</w:t>
            </w:r>
          </w:p>
        </w:tc>
        <w:tc>
          <w:tcPr>
            <w:tcW w:type="dxa" w:w="3115"/>
          </w:tcPr>
          <w:p>
            <w:pPr>
              <w:pStyle w:val="null5"/>
              <w:jc w:val="left"/>
            </w:pPr>
            <w:r>
              <w:rPr>
                <w:rFonts w:ascii="仿宋_GB2312" w:hAnsi="仿宋_GB2312" w:cs="仿宋_GB2312" w:eastAsia="仿宋_GB2312"/>
              </w:rPr>
              <w:t>项目组其他人员配置合理，除项目负责人外，投标人每拟派一名具有咨询工程师证书且同时具备高级职称的人员得2分，本项最高得10分，未提供不得分。项目人员需提供2024年6月至开标截止时间任意连续三个月的缴纳社会保险的证明材料，新入职人员要求提供入职至投标截止前的缴纳社会保险的证明材料，退休人员需提供有效的与投标单位签订的劳动合同及退休证明。</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