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科尔沁区国民经济和社会发展第十五个五年规划及三个课题报告项目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通辽市科尔沁区发展和改革委员会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内蒙古睿广建设项目管理有限公司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KEQQZCS-G-F-250021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内蒙古睿广建设项目管理有限公司</w:t>
      </w:r>
      <w:r>
        <w:rPr>
          <w:rFonts w:ascii="仿宋_GB2312" w:hAnsi="仿宋_GB2312" w:cs="仿宋_GB2312" w:eastAsia="仿宋_GB2312"/>
        </w:rPr>
        <w:t xml:space="preserve"> 受 </w:t>
      </w:r>
      <w:r>
        <w:rPr>
          <w:rFonts w:ascii="仿宋_GB2312" w:hAnsi="仿宋_GB2312" w:cs="仿宋_GB2312" w:eastAsia="仿宋_GB2312"/>
        </w:rPr>
        <w:t>通辽市科尔沁区发展和改革委员会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科尔沁区国民经济和社会发展第十五个五年规划及三个课题报告项目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科尔沁区国民经济和社会发展第十五个五年规划及三个课题报告项目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KEQQZCS-G-F-250021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150502[2025]00216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科尔沁区国民经济和社会发展第十五个五年规划及三个课题报告项目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内蒙古睿广建设项目管理有限公司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内蒙古自治区呼和浩特市新城区科尔沁快速路与南店街交汇处绿地新都汇智海大厦A4号楼1203室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15764756055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通辽市科尔沁区发展和改革委员会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内蒙古通辽市霍林河大街908号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任欢</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15750516611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代理服务费收费标准：按照内工建协[2022]34号文件中载明的标准收取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通辽市科尔沁区发展和改革委员会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内蒙古睿广建设项目管理有限公司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十五五”时期是我国基本实现社会主义现代化承上启下的关键攻坚期，也是推动通辽市科尔沁区高质量发展的关键时期。开展科尔沁区国民经济和社会发展第十五个五年规划及三个课题报告规划编制工作，要求全面总结和分析科尔沁区现阶段社会经济发展情况，系统梳理“十四五”期间科尔沁区取得的发展成就和存在的不足，深入分析内外部环境与发展条件，确定“十五五”时期科尔沁区经济社会发展的指导思想、主要目标、战略定位、重点任务、重大项目等内容。在规划编制过程中，围绕第十五个五年规划及三个课题报告内容开展前期研究，形成科尔沁区未来五年经济社会发展的“基本思路”，将发展思路、目标任务、重大举措等内容落于纲要文本。在项目起草过程中，广泛听取各级、各部门、各领域意见建议，做好规划衔接和论证工作，最终形成高水平的“第十五个五年规划及三个课题报告”规划纲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合同签订之日起15个月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1、签订合同具备实施条件后支付预付款，达到付款条件起30日，支付合同总金额的30.00%</w:t>
            </w:r>
          </w:p>
          <w:p>
            <w:pPr>
              <w:pStyle w:val="null5"/>
              <w:jc w:val="left"/>
            </w:pPr>
            <w:r>
              <w:rPr>
                <w:rFonts w:ascii="仿宋_GB2312" w:hAnsi="仿宋_GB2312" w:cs="仿宋_GB2312" w:eastAsia="仿宋_GB2312"/>
              </w:rPr>
              <w:t>2、“基本思路”通过会议审定后，达到付款条件起30日，支付合同总金额的20.00%</w:t>
            </w:r>
          </w:p>
          <w:p>
            <w:pPr>
              <w:pStyle w:val="null5"/>
              <w:jc w:val="left"/>
            </w:pPr>
            <w:r>
              <w:rPr>
                <w:rFonts w:ascii="仿宋_GB2312" w:hAnsi="仿宋_GB2312" w:cs="仿宋_GB2312" w:eastAsia="仿宋_GB2312"/>
              </w:rPr>
              <w:t>3、全部服务内容完成，按工作时序进度付款。，达到付款条件起30日，支付合同总金额的50.00%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标的名称：科尔沁区国民经济和社会发展第十五个五年规划及三个课题报告项目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十五五”时期是我国基本实现社会主义现代化承上启下的关键攻坚期，也是推动通辽市科尔沁区高质量发展的关键时期。开展科尔沁区国民经济和社会发展第十五个五年规划及三个课题报告规划编制工作，要求全面总结和分析科尔沁区现阶段社会经济发展情况，系统梳理“十四五”期间科尔沁区取得的发展成就和存在的不足，深入分析内外部环境与发展条件，确定“十五五”时期科尔沁区经济社会发展的指导思想、主要目标、战略定位、重点任务、重大项目等内容。在规划编制过程中，围绕第十五个五年规划及三个课题报告内容开展前期研究，形成科尔沁区未来五年经济社会发展的“基本思路”，将发展思路、目标任务、重大举措等内容落于纲要文本。在项目起草过程中，广泛听取各级、各部门、各领域意见建议，做好规划衔接和论证工作，最终形成高水平的“第十五个五年规划及三个课题报告”规划纲要。</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对本项目的理解</w:t>
            </w:r>
          </w:p>
        </w:tc>
        <w:tc>
          <w:tcPr>
            <w:tcW w:type="dxa" w:w="3115"/>
          </w:tcPr>
          <w:p>
            <w:pPr>
              <w:pStyle w:val="null5"/>
              <w:jc w:val="left"/>
            </w:pPr>
            <w:r>
              <w:rPr>
                <w:rFonts w:ascii="仿宋_GB2312" w:hAnsi="仿宋_GB2312" w:cs="仿宋_GB2312" w:eastAsia="仿宋_GB2312"/>
              </w:rPr>
              <w:t>根据供应商对本项目的理解程度，包括但不限于，1、项目背景；2、项目意义；3、项目需求分析；投标人完全满足上述三项要求，内容齐全符合项目实际得15分，每有一项缺项或只有标题没有实质性内容得扣5分，每有一项内容存在缺陷或不足得扣1分，扣完为止，不计负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研究思路及研究内容</w:t>
            </w:r>
          </w:p>
        </w:tc>
        <w:tc>
          <w:tcPr>
            <w:tcW w:type="dxa" w:w="3115"/>
          </w:tcPr>
          <w:p>
            <w:pPr>
              <w:pStyle w:val="null5"/>
              <w:jc w:val="left"/>
            </w:pPr>
            <w:r>
              <w:rPr>
                <w:rFonts w:ascii="仿宋_GB2312" w:hAnsi="仿宋_GB2312" w:cs="仿宋_GB2312" w:eastAsia="仿宋_GB2312"/>
              </w:rPr>
              <w:t>根据投标人提供得研究思路及研究内容，包括但不限于：1、研究思路；2、研究内容；3、对现状发展的认知；4、规划编制方案；投标人完全满足上述四项要求，内容齐全符合项目实际得20分，每有一项缺项或只有标题没有实质性内容得扣5分，每有一项内容存在缺陷或不足得扣1分，扣完为止，不计负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针对本项目所做的质量保证措施，内容包括但不限于：1、质量保障体系；2、质量控制措施；3、质量管理机制；进行综合评分，每有一项缺项或只有标题没有实质性内容得扣3分，每有一项内容存在缺陷或不足得扣1分，扣完为止，不计负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根据投标人针对本项目所做的工作进度计划，内容包括但不限于：1、项目实施总进度计划；2、项目实施各阶段进度计划；3、每个进度计划的人员分工安排；进行综合评分，每有一项缺项或只有标题没有实质性内容得扣3分，每有一项内容存在缺陷或不足得扣1分，扣完为止，不计负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项目的重点、难点分析及措施</w:t>
            </w:r>
          </w:p>
        </w:tc>
        <w:tc>
          <w:tcPr>
            <w:tcW w:type="dxa" w:w="3115"/>
          </w:tcPr>
          <w:p>
            <w:pPr>
              <w:pStyle w:val="null5"/>
              <w:jc w:val="left"/>
            </w:pPr>
            <w:r>
              <w:rPr>
                <w:rFonts w:ascii="仿宋_GB2312" w:hAnsi="仿宋_GB2312" w:cs="仿宋_GB2312" w:eastAsia="仿宋_GB2312"/>
              </w:rPr>
              <w:t>根据投标人针对本项目所做的项目的重点、难点分析及措施，内容包括但不限于：1、供应商针对本项目的重点分析；2、供应商针对本项目的难点分析；3、针对重难点的应对措施；进行综合评分，每有一项缺项或只有标题没有实质性内容得扣4分，每有一项内容存在缺陷或不足得扣1分，扣完为止，不计负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针对本项目所做的服务承诺，内容包括但不限于：1、项目服务保障措施；2、保密措施。进行综合评分，每有一项缺项或只有标题没有实质性内容得扣2.5分，每有一项内容存在缺陷或不足得扣1分，扣完为止，不计负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供应商近三年内（2022年01月至今）完成过类似项目业绩的（类似项目业绩指规划类业绩），每提供一个得2分，最多得8分；赋分条件：业绩指合同；未提供不计分。业绩日期以合同签订日期为准。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项目负责人能力和业绩</w:t>
            </w:r>
          </w:p>
        </w:tc>
        <w:tc>
          <w:tcPr>
            <w:tcW w:type="dxa" w:w="3115"/>
          </w:tcPr>
          <w:p>
            <w:pPr>
              <w:pStyle w:val="null5"/>
              <w:jc w:val="left"/>
            </w:pPr>
            <w:r>
              <w:rPr>
                <w:rFonts w:ascii="仿宋_GB2312" w:hAnsi="仿宋_GB2312" w:cs="仿宋_GB2312" w:eastAsia="仿宋_GB2312"/>
              </w:rPr>
              <w:t>项目负责人具备咨询工程师证书并且同时具有高级经济师的每提供一个得2分，最多得2分。未提供不得分。需提供2024年6月至开标截止时间任意连续三个月的缴纳社会保险的证明材料，新入职人员要求提供入职至投标截止前的缴纳社会保险的证明材料，退休人员需提供有效的与投标单位签订的劳动合同及退休证明。</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项目组其他人员配置</w:t>
            </w:r>
          </w:p>
        </w:tc>
        <w:tc>
          <w:tcPr>
            <w:tcW w:type="dxa" w:w="3115"/>
          </w:tcPr>
          <w:p>
            <w:pPr>
              <w:pStyle w:val="null5"/>
              <w:jc w:val="left"/>
            </w:pPr>
            <w:r>
              <w:rPr>
                <w:rFonts w:ascii="仿宋_GB2312" w:hAnsi="仿宋_GB2312" w:cs="仿宋_GB2312" w:eastAsia="仿宋_GB2312"/>
              </w:rPr>
              <w:t>项目组其他人员配置合理，除项目负责人外，投标人每拟派一名具有咨询工程师证书且同时具备高级职称的人员得2分，本项最高得10分，未提供不得分。项目人员需提供2024年6月至开标截止时间任意连续三个月的缴纳社会保险的证明材料，新入职人员要求提供入职至投标截止前的缴纳社会保险的证明材料，退休人员需提供有效的与投标单位签订的劳动合同及退休证明。</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