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原林草局办公楼维修及办公楼供热官网改造工程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中共通辽市科尔沁区纪律检查委员会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中恒一信项目管理咨询有限公司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KEQQZCS-C-G-250015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中恒一信项目管理咨询有限公司</w:t>
      </w:r>
      <w:r>
        <w:rPr>
          <w:rFonts w:ascii="仿宋_GB2312" w:hAnsi="仿宋_GB2312" w:cs="仿宋_GB2312" w:eastAsia="仿宋_GB2312"/>
        </w:rPr>
        <w:t xml:space="preserve"> 受 </w:t>
      </w:r>
      <w:r>
        <w:rPr>
          <w:rFonts w:ascii="仿宋_GB2312" w:hAnsi="仿宋_GB2312" w:cs="仿宋_GB2312" w:eastAsia="仿宋_GB2312"/>
        </w:rPr>
        <w:t>中共通辽市科尔沁区纪律检查委员会</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原林草局办公楼维修及办公楼供热官网改造工程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原林草局办公楼维修及办公楼供热官网改造工程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KEQQZCS-C-G-250015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150502[2025]00136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2,187,591.00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原林草局办公楼维修及办公楼供热管网改造工程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2,187,591.00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1、资质要求：（1）供应商须具备建设行政主管部门核发的建筑工程工程施工总承包三级（含）及以上资质同时具备有效的安全生产许可证； （2）拟派项目经理须具有建筑工程专业二级及以上注册建造师证书（注册证书的注册单位名称必须与供应商名称一致），并具备有效期内的B类安全考核合格证，且未在其他在建工程项目中任职（在建工程项目期间指：施工合同签订之日起至发包人出具竣工验收证明之日或行政主管部门提供竣工验收报告之日止，提供承诺函）； （3）根据《通辽市建筑市场诚信行为信息管理办法》（通住建发〔2020〕165号）文件规定，对被记录不良行为并经公示的建筑市场信用主体，将拒绝参加响应，公示以通辽住房和城乡建设局网站为准； 通过“中国裁判文书网”（http://wenshu.court.gov.cn/）查询供应商、法定代表人及本项目拟派的项目经理的行贿犯罪结果，对于有行贿犯罪的，将拒绝其参加本次采购活动。</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中恒一信项目管理咨询有限公司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吉林省长春市朝阳区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130021</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李彬</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18648280565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中共通辽市科尔沁区纪律检查委员会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通辽市科尔沁区霍林河大街908号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张莹</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0475-8319382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中共通辽市科尔沁区纪律检查委员会</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中恒一信项目管理咨询有限公司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原林草局办公楼维修及办公楼供热管网改造工程项目,主要施工内容是办公楼内装修改造等相关工程。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签订合同后4个月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通辽市科尔沁区</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1、签订合同后预付款，达到付款条件起15日，支付合同总金额的30.00%</w:t>
            </w:r>
          </w:p>
          <w:p>
            <w:pPr>
              <w:pStyle w:val="null5"/>
              <w:jc w:val="left"/>
            </w:pPr>
            <w:r>
              <w:rPr>
                <w:rFonts w:ascii="仿宋_GB2312" w:hAnsi="仿宋_GB2312" w:cs="仿宋_GB2312" w:eastAsia="仿宋_GB2312"/>
              </w:rPr>
              <w:t>2、项目完工后，达到付款条件起15日，支付合同总金额的30.00%</w:t>
            </w:r>
          </w:p>
          <w:p>
            <w:pPr>
              <w:pStyle w:val="null5"/>
              <w:jc w:val="left"/>
            </w:pPr>
            <w:r>
              <w:rPr>
                <w:rFonts w:ascii="仿宋_GB2312" w:hAnsi="仿宋_GB2312" w:cs="仿宋_GB2312" w:eastAsia="仿宋_GB2312"/>
              </w:rPr>
              <w:t>3、项目竣工验收通过后，达到付款条件起15日，支付合同总金额的40.00%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标的名称：原林草局办公楼维修及办公楼供热管网改造工程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详见招标工程量清单，工程量清单以附件的形式上传，给出的子目编码、子目名称、子目特征、计量单位和工程量均为</w:t>
            </w:r>
            <w:r>
              <w:rPr>
                <w:rFonts w:ascii="仿宋_GB2312" w:hAnsi="仿宋_GB2312" w:cs="仿宋_GB2312" w:eastAsia="仿宋_GB2312"/>
                <w:sz w:val="21"/>
              </w:rPr>
              <w:t>★号实质性条款</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未被列入失信被执行人、重大税收违法案件当事人名单、政府采购严重违法失信行为记录名单的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未被列入失信被执行人、重大税收违法案件当事人名单、政府采购严重违法失信行为记录名单的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未被列入失信被执行人、重大税收违法案件当事人名单、政府采购严重违法失信行为记录名单的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未被列入失信被执行人、重大税收违法案件当事人名单、政府采购严重违法失信行为记录名单的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未被列入失信被执行人、重大税收违法案件当事人名单、政府采购严重违法失信行为记录名单的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（1）供应商须具备建设行政主管部门核发的建筑工程工程施工总承包三级（含）及以上资质同时具备有效的安全生产许可证； （2）拟派项目经理须具有建筑工程专业二级及以上注册建造师证书（注册证书的注册单位名称必须与供应商名称一致），并具备有效期内的B类安全考核合格证，且未在其他在建工程项目中任职（在建工程项目期间指：施工合同签订之日起至发包人出具竣工验收证明之日或行政主管部门提供竣工验收报告之日止，提供承诺函）； （3）根据《通辽市建筑市场诚信行为信息管理办法》（通住建发〔2020〕165号）文件规定，对被记录不良行为并经公示的建筑市场信用主体，将拒绝参加响应，公示以通辽住房和城乡建设局网站为准； 通过“中国裁判文书网”（http://wenshu.court.gov.cn/）查询供应商、法定代表人及本项目拟派的项目经理的行贿犯罪结果，对于有行贿犯罪的，将拒绝其参加本次采购活动。</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无此项得0分；差得4分；基本可行得8分；可行性较强得12分；科学可行得15分。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无此项得0分；差得2分；基本可行得5分；可行性较强得8分；科学可行得10分。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无此项得0分；差得2分；基本可行得5分；可行性较强得8分；科学可行得10分。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无此项得0分；差得2分；基本可行得5分；可行性较强得8分；科学可行得10分。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无此项得0分；差得1分；基本可行得3分；可行性较强得4分；科学可行得5分。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无此项得0分；差得2分；基本可行得5分；可行性较强得8分；科学可行得10分。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建筑市场信用</w:t>
            </w:r>
          </w:p>
        </w:tc>
        <w:tc>
          <w:tcPr>
            <w:tcW w:type="dxa" w:w="3115"/>
          </w:tcPr>
          <w:p>
            <w:pPr>
              <w:pStyle w:val="null5"/>
              <w:jc w:val="left"/>
            </w:pPr>
            <w:r>
              <w:rPr>
                <w:rFonts w:ascii="仿宋_GB2312" w:hAnsi="仿宋_GB2312" w:cs="仿宋_GB2312" w:eastAsia="仿宋_GB2312"/>
              </w:rPr>
              <w:t>企业或项目经理近三年发生过诉讼、仲裁，以及在建筑市场中违法违规被监管部门通报、罚款和纪律处分的，有一次扣2分，扣完为止，没有的得10分。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近三年内（2022年02月至投标截止时间前，以合同签订时间为准）完成过建筑工程或装饰装修类工程业绩必须具备中标通知书和施工合同（缺一不可）每个类似工程加2分，满分4分。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配备技术负责人、施工员、材料员、资料员、质量员、安全员，上述人员中，技术负责人提供工程相关专业中级及以上职称证书；施工员、材料员、资料员、质量员提供岗位证书；安全员提供C类安全生产考核合格证书，有1项得1分，满分6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详见附件：工程量清单及其他材料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