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食堂大宗食材采购项目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科尔沁左翼中旗保康镇中心校</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永信恒昌工程管理有限公司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KZZQZCS-G-H-250006</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永信恒昌工程管理有限公司</w:t>
      </w:r>
      <w:r>
        <w:rPr>
          <w:rFonts w:ascii="仿宋_GB2312" w:hAnsi="仿宋_GB2312" w:cs="仿宋_GB2312" w:eastAsia="仿宋_GB2312"/>
        </w:rPr>
        <w:t xml:space="preserve"> 受 </w:t>
      </w:r>
      <w:r>
        <w:rPr>
          <w:rFonts w:ascii="仿宋_GB2312" w:hAnsi="仿宋_GB2312" w:cs="仿宋_GB2312" w:eastAsia="仿宋_GB2312"/>
        </w:rPr>
        <w:t>科尔沁左翼中旗保康镇中心校</w:t>
      </w:r>
      <w:r>
        <w:rPr>
          <w:rFonts w:ascii="仿宋_GB2312" w:hAnsi="仿宋_GB2312" w:cs="仿宋_GB2312" w:eastAsia="仿宋_GB2312"/>
        </w:rPr>
        <w:t xml:space="preserve"> 委托，采用公开招标方式组织采购 </w:t>
      </w:r>
      <w:r>
        <w:rPr>
          <w:rFonts w:ascii="仿宋_GB2312" w:hAnsi="仿宋_GB2312" w:cs="仿宋_GB2312" w:eastAsia="仿宋_GB2312"/>
        </w:rPr>
        <w:t>食堂大宗食材采购项目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食堂大宗食材采购项目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KZZQZCS-G-H-250006</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150521[2025]00038</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1,084,908.74</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肉类、蛋类</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1,084,908.74</w:t>
            </w:r>
          </w:p>
        </w:tc>
        <w:tc>
          <w:tcPr>
            <w:tcW w:type="dxa" w:w="831"/>
          </w:tcPr>
          <w:p>
            <w:pPr>
              <w:pStyle w:val="null5"/>
              <w:jc w:val="left"/>
            </w:pPr>
            <w:r>
              <w:rPr>
                <w:rFonts w:ascii="仿宋_GB2312" w:hAnsi="仿宋_GB2312" w:cs="仿宋_GB2312" w:eastAsia="仿宋_GB2312"/>
              </w:rPr>
              <w:t>批</w:t>
            </w:r>
          </w:p>
        </w:tc>
        <w:tc>
          <w:tcPr>
            <w:tcW w:type="dxa" w:w="831"/>
          </w:tcPr>
          <w:p>
            <w:pPr>
              <w:pStyle w:val="null5"/>
              <w:jc w:val="left"/>
            </w:pPr>
            <w:r>
              <w:rPr>
                <w:rFonts w:ascii="仿宋_GB2312" w:hAnsi="仿宋_GB2312" w:cs="仿宋_GB2312" w:eastAsia="仿宋_GB2312"/>
              </w:rPr>
              <w:t>批发业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采购包预算金额（元）: 271,098.00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米面粮油</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271,098.00</w:t>
            </w:r>
          </w:p>
        </w:tc>
        <w:tc>
          <w:tcPr>
            <w:tcW w:type="dxa" w:w="831"/>
          </w:tcPr>
          <w:p>
            <w:pPr>
              <w:pStyle w:val="null5"/>
              <w:jc w:val="left"/>
            </w:pPr>
            <w:r>
              <w:rPr>
                <w:rFonts w:ascii="仿宋_GB2312" w:hAnsi="仿宋_GB2312" w:cs="仿宋_GB2312" w:eastAsia="仿宋_GB2312"/>
              </w:rPr>
              <w:t>批</w:t>
            </w:r>
          </w:p>
        </w:tc>
        <w:tc>
          <w:tcPr>
            <w:tcW w:type="dxa" w:w="831"/>
          </w:tcPr>
          <w:p>
            <w:pPr>
              <w:pStyle w:val="null5"/>
              <w:jc w:val="left"/>
            </w:pPr>
            <w:r>
              <w:rPr>
                <w:rFonts w:ascii="仿宋_GB2312" w:hAnsi="仿宋_GB2312" w:cs="仿宋_GB2312" w:eastAsia="仿宋_GB2312"/>
              </w:rPr>
              <w:t>批发业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1、供应商资格要求：供应商需具备有效期内的《食品生产许可证》或《食品经营许可证》</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1、供应商资格要求：供应商需具备有效期内的《食品生产许可证》或《食品经营许可证》</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积极支持中小企业政府采购合同融资积:积极支持中小企业政府采购合同融资:中标（成交）供应商在中标（成交）后可凭借采购合同申请“政采贷”扶持政策，“政采贷”政策合同融资为支持和促进中小企业发展，切实解决企业融资难问题，政府采购项目已开通合同融资渠道，供应商中标（成交）后可通过中标（成交）合同向相关银行发起无抵押无担保融资申请，银行根据企业中标（成交）信息发放贷款，帮助企业解决融资问题。相关资料可查阅：http://39.104.85.103/zcdservice/zcd/neimeng。</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永信恒昌工程管理有限公司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福建省泉州市石狮市湖滨街道子芳路长福豪富华大厦七楼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362700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陈力</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18547571379</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科尔沁左翼中旗保康镇中心校</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保康镇</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029300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张奇</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15247540832</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2</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p>
            <w:pPr>
              <w:pStyle w:val="null5"/>
              <w:jc w:val="left"/>
            </w:pPr>
            <w:r>
              <w:rPr>
                <w:rFonts w:ascii="仿宋_GB2312" w:hAnsi="仿宋_GB2312" w:cs="仿宋_GB2312" w:eastAsia="仿宋_GB2312"/>
              </w:rPr>
              <w:t>采购包2：综合评分法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采购包2：不接受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代理服务费收费标准：参照内工建协【2022】34号文件收取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属于专门面向中小企业小微企业采购，预留比例为100%。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p>
            <w:pPr>
              <w:pStyle w:val="null5"/>
              <w:jc w:val="left"/>
            </w:pPr>
            <w:r>
              <w:rPr>
                <w:rFonts w:ascii="仿宋_GB2312" w:hAnsi="仿宋_GB2312" w:cs="仿宋_GB2312" w:eastAsia="仿宋_GB2312"/>
              </w:rPr>
              <w:t>采购包2：3家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p>
            <w:pPr>
              <w:pStyle w:val="null5"/>
              <w:jc w:val="left"/>
            </w:pPr>
            <w:r>
              <w:rPr>
                <w:rFonts w:ascii="仿宋_GB2312" w:hAnsi="仿宋_GB2312" w:cs="仿宋_GB2312" w:eastAsia="仿宋_GB2312"/>
              </w:rPr>
              <w:t>采购包2：1名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p>
            <w:pPr>
              <w:pStyle w:val="null5"/>
              <w:jc w:val="left"/>
            </w:pPr>
            <w:r>
              <w:rPr>
                <w:rFonts w:ascii="仿宋_GB2312" w:hAnsi="仿宋_GB2312" w:cs="仿宋_GB2312" w:eastAsia="仿宋_GB2312"/>
              </w:rPr>
              <w:t>采购包2：3名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p>
            <w:pPr>
              <w:pStyle w:val="null5"/>
              <w:jc w:val="left"/>
            </w:pPr>
            <w:r>
              <w:rPr>
                <w:rFonts w:ascii="仿宋_GB2312" w:hAnsi="仿宋_GB2312" w:cs="仿宋_GB2312" w:eastAsia="仿宋_GB2312"/>
              </w:rPr>
              <w:t>采购包2：总价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p>
            <w:pPr>
              <w:pStyle w:val="null5"/>
              <w:jc w:val="left"/>
            </w:pPr>
            <w:r>
              <w:rPr>
                <w:rFonts w:ascii="仿宋_GB2312" w:hAnsi="仿宋_GB2312" w:cs="仿宋_GB2312" w:eastAsia="仿宋_GB2312"/>
              </w:rPr>
              <w:t>采购包2：组织现场踏勘：否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1.招标金额为上一年度参考价格，实际采购金额需根据我校食堂新一年度收费金额及实际就餐人数产生的采购需求决定。 2.供货商提供的食材价格需根据市场价格进行浮动，并低于市场价格供货。 3.供货商原料必须安全、卫生，每次供货时必须随同所供原材料相关检验、检疫合格证明或报告，严禁提供“三无产品”、腐烂变质、有毒有害、过保质期等不合格产品。 4.供货商需按照我校规定的食材的规格、数量、时间、地点进行供货。 5.根据食品安全有关规定，经卫生部门鉴定，如供货方提供的食材有毒有害等导致师生食物中毒或其他食源性疾患的，由供货方承担一切经济损失和法律责任。 6.如遇不可抗因素导致供货方不能按时将食材配送至学校，需提前告知学校并商议可行的应急方案。 7.根据教体局或上级相关部门文件，对食堂食材采购管理有明确的新要求时，需解除本合同时，供货方应无条件解除本合同。 8.本项目为学校大宗食材供应项目，为保证学生食品安全，中标供应商如存在中标后不履行合同，产品及服务标准和响应文件不一致等情况，我校有权与供应商解除合同并上报教体局及财政局有关主管部分，对该单位进行处罚。 一、报价内容1、投标人应按采购清单进行报价附到响应文件中，报价内容(单价、规格型号、重量)将作为合同内容，实际合同金额，应在合同履行期限内，按投标单价以实供数量以供货及接货验收凭证按月据实结算。中标后严格执行此价格并根据实际供货量进行结算，投标单价将作为合同组成的重要部分，因季节变化、天气情况及其他不可抗力等可能对商品价格造成涨迭影响的风险由投标人自行承担，各投标人投标时应充分考虑商品价格浮动因素，并自行承担因此产生的风险。关于报价：2、关于报价：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或未提供报价明细的，评标委员会应当将其作为无效投标处理。 验收要求 1、投标人应严格遵守《食品卫生安全法》和《动物检疫法》等食品安全相关规定，所供的商品必须保证质量，符合国家、行业质量标准，根据实际供货批次按批次验收。2、投标人提供的产品需经过验收人员的外观检验和试用检验，若产品外观、包装、形式不符合要求，当即拒收；投标人不能满足食品的质量及售后服务要求时，采购人有权进行处罚或终止合同。3、乙方交货时，必须同时出具符合国家规定的货物检验检疫合格证书。货物到达采购人约定地点后，甲方对货物进行验收，验收合格并经双方签字后方可交货。4、甲方或委托相应机构进行抽样检查，抽检不合格甲方有权拒收，并责令乙方在约定时间内提供合格货物，如不能按时提供，应向甲方的使用需求，甲方有权解除合同并由乙方承担因此给甲方造成的一切损失。 质量标准： 出现下列质量问题，甲方有权要求乙方对问题商品进行更换，若乙方不配合甲方更换要求则甲方有权取消合同。（1）果蔬生鲜类商品出现腐烂、黄叶占5%、干瘪、严重失水等导致不能食用的。（2）肉、禽、鱼、蛋等生鲜类商品出现色泽异常、从内向外渗水、新鲜度差、长期冷冻的“僵尸肉”、变质等情况的。（3）食用油出现底部有沉淀物、浑浊、油脂酸败等情况的。（5）熟食类商品出现包装破损、胀袋、变质、保质期少于合同要求保质期限等情况的（6）米、面、杂粮及豆类物资出现霉变、生虫、结块、包装污秽等情况的。（7）干粉条、木耳等干鲜物资出现潮湿、变质、色泽异常、混有异物、生产日期和保质期标识不明的。（8）干调料类物资出现品牌模糊不清、来源不明、变质有异味、生产日期和保质期标识不明的。（9）果蔬类商品农药残留超标的。（10）配送过程中因管理不善导致物资受潮、挤压变形、外包装破损、污染等情况的。（11）使用假冒伪劣商品替代正品的。（12）所供物资缺斤短两超过5%，且经过提醒仍不改正的。 服务标准： 出现下列服务类问题，甲方有权要求乙方对问题进行整改，若乙方不配合甲方整改要求则甲方有权取消合同。（1）供应商配送的物资与甲方确定的种类和标准不符的。（2）供应商在招标工作结束后，供货价格高于招标采购确定的价格的。（3）供应商未在规定时间内完成供货的。（4）供应商未按合同约定时间完成退、换、补货的。（5）供应商提供的运输车辆和盛物工具不卫生、放置货物的空间内有异味或未按卫生防疫要求消毒消杀的。（6）供应商未按要求提供食材溯源证明和相关检验检测报告的。（7）供应商所供应的所有商品均应有商品产地、厂家、品牌、单位、标准等相关可查信息。</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科尔沁左翼中旗保康镇中心校</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永信恒昌工程管理有限公司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供应商在投标时，按照规定可提供《通辽市政府采购供应商信用承诺函》或2023年或2024年度经会计师事务所出具的财务审计报告或其基本开户银行出具的近一年内的银行资信证明。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供应商在投标时，按照规定可提供《通辽市政府采购供应商信用承诺函》或递交投标文件截止之日前一年内(至少一个月)的良好缴纳税收和社会保险的相关凭据。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供应商在投标时，按照规定可提供《通辽市政府采购供应商信用承诺函》或出具的"具有履行合同所必须的设备和专业技术能力"声明。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供应商在投标时，按照规定可提供《通辽市政府采购供应商信用承诺函》或“参加本采购活动前3年内在经营活动中没有重大违法记录"投标人书面声明函。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供应商在投标时，按照规定可提供《通辽市政府采购供应商信用承诺函》或提交投标文件的截止时间，投标人未被列入失信被执行人、税收违法黑名单、政府采购严重违法失信行为记录名单。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供应商在投标时，按照规定可提供《通辽市政府采购供应商信用承诺函》或2023年或2024年度经会计师事务所出具的财务审计报告或其基本开户银行出具的近一年内的银行资信证明。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供应商在投标时，按照规定可提供《通辽市政府采购供应商信用承诺函》或递交投标文件截止之日前一年内(至少一个月)的良好缴纳税收和社会保险的相关凭据。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供应商在投标时，按照规定可提供《通辽市政府采购供应商信用承诺函》或出具的"具有履行合同所必须的设备和专业技术能力"声明。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供应商在投标时，按照规定可提供《通辽市政府采购供应商信用承诺函》或“参加本采购活动前3年内在经营活动中没有重大违法记录"投标人书面声明函。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供应商在投标时，按照规定可提供《通辽市政府采购供应商信用承诺函》或提交投标文件的截止时间，投标人未被列入失信被执行人、税收违法黑名单、政府采购严重违法失信行为记录名单。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供应商资格要求</w:t>
            </w:r>
          </w:p>
        </w:tc>
        <w:tc>
          <w:tcPr>
            <w:tcW w:type="dxa" w:w="4984"/>
          </w:tcPr>
          <w:p>
            <w:pPr>
              <w:pStyle w:val="null5"/>
              <w:jc w:val="left"/>
            </w:pPr>
            <w:r>
              <w:rPr>
                <w:rFonts w:ascii="仿宋_GB2312" w:hAnsi="仿宋_GB2312" w:cs="仿宋_GB2312" w:eastAsia="仿宋_GB2312"/>
              </w:rPr>
              <w:t>供应商需具备有效期内的《食品生产许可证》或《食品经营许可证》</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供应商资格要求</w:t>
            </w:r>
          </w:p>
        </w:tc>
        <w:tc>
          <w:tcPr>
            <w:tcW w:type="dxa" w:w="4984"/>
          </w:tcPr>
          <w:p>
            <w:pPr>
              <w:pStyle w:val="null5"/>
              <w:jc w:val="left"/>
            </w:pPr>
            <w:r>
              <w:rPr>
                <w:rFonts w:ascii="仿宋_GB2312" w:hAnsi="仿宋_GB2312" w:cs="仿宋_GB2312" w:eastAsia="仿宋_GB2312"/>
              </w:rPr>
              <w:t>供应商需具备有效期内的《食品生产许可证》或《食品经营许可证》</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r>
        <w:tc>
          <w:tcPr>
            <w:tcW w:type="dxa" w:w="3692"/>
          </w:tcPr>
          <w:p>
            <w:pPr>
              <w:pStyle w:val="null5"/>
              <w:jc w:val="left"/>
            </w:pPr>
            <w:r>
              <w:rPr>
                <w:rFonts w:ascii="仿宋_GB2312" w:hAnsi="仿宋_GB2312" w:cs="仿宋_GB2312" w:eastAsia="仿宋_GB2312"/>
              </w:rPr>
              <w:t>关于印发《通辽市政府采购“双向承诺+信用管理”工作方案》的通知</w:t>
            </w:r>
          </w:p>
        </w:tc>
        <w:tc>
          <w:tcPr>
            <w:tcW w:type="dxa" w:w="4614"/>
          </w:tcPr>
          <w:p>
            <w:pPr>
              <w:pStyle w:val="null5"/>
              <w:jc w:val="left"/>
            </w:pPr>
            <w:r>
              <w:rPr>
                <w:rFonts w:ascii="仿宋_GB2312" w:hAnsi="仿宋_GB2312" w:cs="仿宋_GB2312" w:eastAsia="仿宋_GB2312"/>
              </w:rPr>
              <w:t>1、供应商在投标(响应)时，按照规定提供《通辽市政府采购供应商信用承诺函》，无需再提交承诺函内证明材料。 2、采购人有权在签订合同前要求中标供应商提供相关证明材料以核实中标供应商承诺事项的真实性。</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r>
        <w:tc>
          <w:tcPr>
            <w:tcW w:type="dxa" w:w="3692"/>
          </w:tcPr>
          <w:p>
            <w:pPr>
              <w:pStyle w:val="null5"/>
              <w:jc w:val="left"/>
            </w:pPr>
            <w:r>
              <w:rPr>
                <w:rFonts w:ascii="仿宋_GB2312" w:hAnsi="仿宋_GB2312" w:cs="仿宋_GB2312" w:eastAsia="仿宋_GB2312"/>
              </w:rPr>
              <w:t>关于印发《通辽市政府采购“双向承诺+信用管理”工作方案》的通知</w:t>
            </w:r>
          </w:p>
        </w:tc>
        <w:tc>
          <w:tcPr>
            <w:tcW w:type="dxa" w:w="4614"/>
          </w:tcPr>
          <w:p>
            <w:pPr>
              <w:pStyle w:val="null5"/>
              <w:jc w:val="left"/>
            </w:pPr>
            <w:r>
              <w:rPr>
                <w:rFonts w:ascii="仿宋_GB2312" w:hAnsi="仿宋_GB2312" w:cs="仿宋_GB2312" w:eastAsia="仿宋_GB2312"/>
              </w:rPr>
              <w:t>1、供应商在投标(响应)时，按照规定提供《通辽市政府采购供应商信用承诺函》，无需再提交承诺函内证明材料。 2、采购人有权在签订合同前要求中标供应商提供相关证明材料以核实中标供应商承诺事项的真实性。</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采购米面粮油、肉类等食材</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2025年3月-7月</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科尔沁左翼中旗保康镇中心校</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1、根据实际供货量按月支付，具体内容以合同约定执行，达到付款条件起5日，支付合同总金额的100.00%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需要缴纳履约保证金：缴纳</w:t>
            </w:r>
          </w:p>
          <w:p>
            <w:pPr>
              <w:pStyle w:val="null5"/>
              <w:jc w:val="left"/>
            </w:pPr>
            <w:r>
              <w:rPr>
                <w:rFonts w:ascii="仿宋_GB2312" w:hAnsi="仿宋_GB2312" w:cs="仿宋_GB2312" w:eastAsia="仿宋_GB2312"/>
              </w:rPr>
              <w:t>缴纳方式：银行转账，支票/汇票/本票，保函/保险</w:t>
            </w:r>
          </w:p>
          <w:p>
            <w:pPr>
              <w:pStyle w:val="null5"/>
              <w:jc w:val="left"/>
            </w:pPr>
            <w:r>
              <w:rPr>
                <w:rFonts w:ascii="仿宋_GB2312" w:hAnsi="仿宋_GB2312" w:cs="仿宋_GB2312" w:eastAsia="仿宋_GB2312"/>
              </w:rPr>
              <w:t>缴纳比例：10</w:t>
            </w:r>
          </w:p>
          <w:p>
            <w:pPr>
              <w:pStyle w:val="null5"/>
              <w:jc w:val="left"/>
            </w:pPr>
            <w:r>
              <w:rPr>
                <w:rFonts w:ascii="仿宋_GB2312" w:hAnsi="仿宋_GB2312" w:cs="仿宋_GB2312" w:eastAsia="仿宋_GB2312"/>
              </w:rPr>
              <w:t>缴纳说明：签订合同前中标供应商缴纳合同价款的10%为履约保证金</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2025年3月-7月</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科尔沁左翼中旗保康镇中心校</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1、根据实际供货量按月支付，具体内容以合同约定执行，达到付款条件起5日，支付合同总金额的100.00%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需要缴纳履约保证金：缴纳</w:t>
            </w:r>
          </w:p>
          <w:p>
            <w:pPr>
              <w:pStyle w:val="null5"/>
              <w:jc w:val="left"/>
            </w:pPr>
            <w:r>
              <w:rPr>
                <w:rFonts w:ascii="仿宋_GB2312" w:hAnsi="仿宋_GB2312" w:cs="仿宋_GB2312" w:eastAsia="仿宋_GB2312"/>
              </w:rPr>
              <w:t>缴纳方式：银行转账，支票/汇票/本票，保函/保险</w:t>
            </w:r>
          </w:p>
          <w:p>
            <w:pPr>
              <w:pStyle w:val="null5"/>
              <w:jc w:val="left"/>
            </w:pPr>
            <w:r>
              <w:rPr>
                <w:rFonts w:ascii="仿宋_GB2312" w:hAnsi="仿宋_GB2312" w:cs="仿宋_GB2312" w:eastAsia="仿宋_GB2312"/>
              </w:rPr>
              <w:t>缴纳比例：10</w:t>
            </w:r>
          </w:p>
          <w:p>
            <w:pPr>
              <w:pStyle w:val="null5"/>
              <w:jc w:val="left"/>
            </w:pPr>
            <w:r>
              <w:rPr>
                <w:rFonts w:ascii="仿宋_GB2312" w:hAnsi="仿宋_GB2312" w:cs="仿宋_GB2312" w:eastAsia="仿宋_GB2312"/>
              </w:rPr>
              <w:t>缴纳说明：签订合同前中标供应商缴纳合同价款的10%为履约保证金</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标的名称：肉类、蛋类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785"/>
              <w:gridCol w:w="688"/>
              <w:gridCol w:w="437"/>
              <w:gridCol w:w="638"/>
            </w:tblGrid>
            <w:tr>
              <w:tc>
                <w:tcPr>
                  <w:tcW w:type="dxa" w:w="7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品名</w:t>
                  </w:r>
                </w:p>
              </w:tc>
              <w:tc>
                <w:tcPr>
                  <w:tcW w:type="dxa" w:w="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规格</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单位</w:t>
                  </w: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采购预算数量</w:t>
                  </w:r>
                </w:p>
              </w:tc>
            </w:tr>
            <w:tr>
              <w:tc>
                <w:tcPr>
                  <w:tcW w:type="dxa" w:w="7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新鲜净猪排骨段</w:t>
                  </w:r>
                </w:p>
              </w:tc>
              <w:tc>
                <w:tcPr>
                  <w:tcW w:type="dxa" w:w="68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斤</w:t>
                  </w: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7000</w:t>
                  </w:r>
                </w:p>
              </w:tc>
            </w:tr>
            <w:tr>
              <w:tc>
                <w:tcPr>
                  <w:tcW w:type="dxa" w:w="7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新鲜净瘦肉</w:t>
                  </w:r>
                </w:p>
              </w:tc>
              <w:tc>
                <w:tcPr>
                  <w:tcW w:type="dxa" w:w="68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斤</w:t>
                  </w: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4640</w:t>
                  </w:r>
                </w:p>
              </w:tc>
            </w:tr>
            <w:tr>
              <w:tc>
                <w:tcPr>
                  <w:tcW w:type="dxa" w:w="7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新鲜后丘肉</w:t>
                  </w:r>
                </w:p>
              </w:tc>
              <w:tc>
                <w:tcPr>
                  <w:tcW w:type="dxa" w:w="68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斤</w:t>
                  </w: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9000</w:t>
                  </w:r>
                </w:p>
              </w:tc>
            </w:tr>
            <w:tr>
              <w:tc>
                <w:tcPr>
                  <w:tcW w:type="dxa" w:w="7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新鲜前朝肉</w:t>
                  </w:r>
                </w:p>
              </w:tc>
              <w:tc>
                <w:tcPr>
                  <w:tcW w:type="dxa" w:w="68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斤</w:t>
                  </w: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8000</w:t>
                  </w:r>
                </w:p>
              </w:tc>
            </w:tr>
            <w:tr>
              <w:tc>
                <w:tcPr>
                  <w:tcW w:type="dxa" w:w="7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新鲜五花肉</w:t>
                  </w:r>
                </w:p>
              </w:tc>
              <w:tc>
                <w:tcPr>
                  <w:tcW w:type="dxa" w:w="68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斤</w:t>
                  </w: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4500</w:t>
                  </w:r>
                </w:p>
              </w:tc>
            </w:tr>
            <w:tr>
              <w:tc>
                <w:tcPr>
                  <w:tcW w:type="dxa" w:w="7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新鲜牛后腿肉</w:t>
                  </w:r>
                </w:p>
              </w:tc>
              <w:tc>
                <w:tcPr>
                  <w:tcW w:type="dxa" w:w="68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斤</w:t>
                  </w: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4000</w:t>
                  </w:r>
                </w:p>
              </w:tc>
            </w:tr>
            <w:tr>
              <w:tc>
                <w:tcPr>
                  <w:tcW w:type="dxa" w:w="7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新鲜鸡蛋</w:t>
                  </w:r>
                </w:p>
              </w:tc>
              <w:tc>
                <w:tcPr>
                  <w:tcW w:type="dxa" w:w="68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斤</w:t>
                  </w: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30292</w:t>
                  </w:r>
                </w:p>
              </w:tc>
            </w:tr>
            <w:tr>
              <w:tc>
                <w:tcPr>
                  <w:tcW w:type="dxa" w:w="7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纯干鲜虾仁</w:t>
                  </w:r>
                </w:p>
              </w:tc>
              <w:tc>
                <w:tcPr>
                  <w:tcW w:type="dxa" w:w="68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斤</w:t>
                  </w: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1500</w:t>
                  </w:r>
                </w:p>
              </w:tc>
            </w:tr>
            <w:tr>
              <w:tc>
                <w:tcPr>
                  <w:tcW w:type="dxa" w:w="7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纯干鸡翅根</w:t>
                  </w:r>
                </w:p>
              </w:tc>
              <w:tc>
                <w:tcPr>
                  <w:tcW w:type="dxa" w:w="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1*10袋*0.7kg</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件</w:t>
                  </w: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260</w:t>
                  </w:r>
                </w:p>
              </w:tc>
            </w:tr>
            <w:tr>
              <w:tc>
                <w:tcPr>
                  <w:tcW w:type="dxa" w:w="7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纯干鸡翅中</w:t>
                  </w:r>
                </w:p>
              </w:tc>
              <w:tc>
                <w:tcPr>
                  <w:tcW w:type="dxa" w:w="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1*10袋*0.7kg</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件</w:t>
                  </w: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260</w:t>
                  </w:r>
                </w:p>
              </w:tc>
            </w:tr>
            <w:tr>
              <w:tc>
                <w:tcPr>
                  <w:tcW w:type="dxa" w:w="7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纯干琵琶腿</w:t>
                  </w:r>
                </w:p>
              </w:tc>
              <w:tc>
                <w:tcPr>
                  <w:tcW w:type="dxa" w:w="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1*7.5kg</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件</w:t>
                  </w: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560</w:t>
                  </w:r>
                </w:p>
              </w:tc>
            </w:tr>
            <w:tr>
              <w:tc>
                <w:tcPr>
                  <w:tcW w:type="dxa" w:w="7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纯干鸡净腿</w:t>
                  </w:r>
                </w:p>
              </w:tc>
              <w:tc>
                <w:tcPr>
                  <w:tcW w:type="dxa" w:w="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1*12.5kg</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件</w:t>
                  </w: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100</w:t>
                  </w:r>
                </w:p>
              </w:tc>
            </w:tr>
            <w:tr>
              <w:tc>
                <w:tcPr>
                  <w:tcW w:type="dxa" w:w="7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安井墨鱼丸</w:t>
                  </w:r>
                </w:p>
              </w:tc>
              <w:tc>
                <w:tcPr>
                  <w:tcW w:type="dxa" w:w="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1*4袋*2.5kg</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件</w:t>
                  </w: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150</w:t>
                  </w:r>
                </w:p>
              </w:tc>
            </w:tr>
          </w:tbl>
          <w:p>
            <w:pPr>
              <w:pStyle w:val="null5"/>
              <w:jc w:val="left"/>
            </w:pPr>
            <w:r>
              <w:rPr>
                <w:rFonts w:ascii="仿宋_GB2312" w:hAnsi="仿宋_GB2312" w:cs="仿宋_GB2312" w:eastAsia="仿宋_GB2312"/>
              </w:rPr>
              <w:t>投标文件中肉类需提供动物产品检疫合格证明，猪肉还需附有非洲猪瘟检测证明。</w:t>
            </w:r>
          </w:p>
          <w:p>
            <w:pPr>
              <w:pStyle w:val="null5"/>
              <w:jc w:val="both"/>
            </w:pPr>
            <w:r>
              <w:rPr>
                <w:rFonts w:ascii="仿宋_GB2312" w:hAnsi="仿宋_GB2312" w:cs="仿宋_GB2312" w:eastAsia="仿宋_GB2312"/>
                <w:sz w:val="21"/>
              </w:rPr>
              <w:t>冻货供货标准：</w:t>
            </w:r>
          </w:p>
          <w:p>
            <w:pPr>
              <w:pStyle w:val="null5"/>
              <w:jc w:val="both"/>
            </w:pPr>
            <w:r>
              <w:rPr>
                <w:rFonts w:ascii="仿宋_GB2312" w:hAnsi="仿宋_GB2312" w:cs="仿宋_GB2312" w:eastAsia="仿宋_GB2312"/>
                <w:sz w:val="21"/>
              </w:rPr>
              <w:t>1</w:t>
            </w:r>
            <w:r>
              <w:rPr>
                <w:rFonts w:ascii="仿宋_GB2312" w:hAnsi="仿宋_GB2312" w:cs="仿宋_GB2312" w:eastAsia="仿宋_GB2312"/>
                <w:sz w:val="21"/>
              </w:rPr>
              <w:t>、杜绝注水禽类，体表色泽洁白，肉质紧密，角膜有弹性，不沾手，指压不留陷窝，具有该有禽类所固有的气味，无其他异味。</w:t>
            </w:r>
          </w:p>
          <w:p>
            <w:pPr>
              <w:pStyle w:val="null5"/>
              <w:jc w:val="both"/>
            </w:pPr>
            <w:r>
              <w:rPr>
                <w:rFonts w:ascii="仿宋_GB2312" w:hAnsi="仿宋_GB2312" w:cs="仿宋_GB2312" w:eastAsia="仿宋_GB2312"/>
                <w:sz w:val="21"/>
              </w:rPr>
              <w:t>2</w:t>
            </w:r>
            <w:r>
              <w:rPr>
                <w:rFonts w:ascii="仿宋_GB2312" w:hAnsi="仿宋_GB2312" w:cs="仿宋_GB2312" w:eastAsia="仿宋_GB2312"/>
                <w:sz w:val="21"/>
              </w:rPr>
              <w:t>、鱼眼突出，角膜清晰透明，体表面色泽鲜明，麟完整，鳞片紧沾皮上不易脱落，有透明粘液，鳃鲜红，鳃丝鲜红，鳃盖禁闭易揭开，肉质结实，有弹性，骨肉不分离，淡水鱼，实行活鱼供应，具有鲜鱼固有的鲜明色泽，粘度透明，具有鲜鱼的正常腥味，无异臭味。</w:t>
            </w:r>
          </w:p>
          <w:p>
            <w:pPr>
              <w:pStyle w:val="null5"/>
              <w:jc w:val="both"/>
            </w:pPr>
            <w:r>
              <w:rPr>
                <w:rFonts w:ascii="仿宋_GB2312" w:hAnsi="仿宋_GB2312" w:cs="仿宋_GB2312" w:eastAsia="仿宋_GB2312"/>
                <w:sz w:val="21"/>
              </w:rPr>
              <w:t>3</w:t>
            </w:r>
            <w:r>
              <w:rPr>
                <w:rFonts w:ascii="仿宋_GB2312" w:hAnsi="仿宋_GB2312" w:cs="仿宋_GB2312" w:eastAsia="仿宋_GB2312"/>
                <w:sz w:val="21"/>
              </w:rPr>
              <w:t>、蛋壳清洁完整，色泽鲜明无破损，裂纹，无霉斑，灯光透视时，整个蛋呈桔黄色至橙红色，蛋黄不见或略见阴影，没有霉味、酸味、臭味等不良气味，打开后蛋黄凸起、完整、有韧性，蛋白澄清、透明、稀稠分明，无异味。</w:t>
            </w:r>
          </w:p>
          <w:p>
            <w:pPr>
              <w:pStyle w:val="null5"/>
              <w:jc w:val="both"/>
            </w:pPr>
            <w:r>
              <w:rPr>
                <w:rFonts w:ascii="仿宋_GB2312" w:hAnsi="仿宋_GB2312" w:cs="仿宋_GB2312" w:eastAsia="仿宋_GB2312"/>
                <w:sz w:val="21"/>
              </w:rPr>
              <w:t>4</w:t>
            </w:r>
            <w:r>
              <w:rPr>
                <w:rFonts w:ascii="仿宋_GB2312" w:hAnsi="仿宋_GB2312" w:cs="仿宋_GB2312" w:eastAsia="仿宋_GB2312"/>
                <w:sz w:val="21"/>
              </w:rPr>
              <w:t>、霉变和虫蛀鼠咬现象、无臭味、货品新鲜，色泽正常，无“三无”产品，货源在保质期内，外包装清洁卫生、无破损，包装上的商标名称、厂址、规格、生产日期、质保期等信息与内容物相符，标识清晰，批次号清楚等。经食品检验检疫合格，调料成分符合国家卫生标准。</w:t>
            </w:r>
          </w:p>
          <w:p>
            <w:pPr>
              <w:pStyle w:val="null5"/>
              <w:jc w:val="both"/>
            </w:pPr>
            <w:r>
              <w:rPr>
                <w:rFonts w:ascii="仿宋_GB2312" w:hAnsi="仿宋_GB2312" w:cs="仿宋_GB2312" w:eastAsia="仿宋_GB2312"/>
                <w:sz w:val="21"/>
              </w:rPr>
              <w:t>5</w:t>
            </w:r>
            <w:r>
              <w:rPr>
                <w:rFonts w:ascii="仿宋_GB2312" w:hAnsi="仿宋_GB2312" w:cs="仿宋_GB2312" w:eastAsia="仿宋_GB2312"/>
                <w:sz w:val="21"/>
              </w:rPr>
              <w:t>、应符合</w:t>
            </w:r>
            <w:r>
              <w:rPr>
                <w:rFonts w:ascii="仿宋_GB2312" w:hAnsi="仿宋_GB2312" w:cs="仿宋_GB2312" w:eastAsia="仿宋_GB2312"/>
                <w:sz w:val="21"/>
              </w:rPr>
              <w:t>GB2707-2016«</w:t>
            </w:r>
            <w:r>
              <w:rPr>
                <w:rFonts w:ascii="仿宋_GB2312" w:hAnsi="仿宋_GB2312" w:cs="仿宋_GB2312" w:eastAsia="仿宋_GB2312"/>
                <w:sz w:val="21"/>
              </w:rPr>
              <w:t>食品安全国家标准鲜（冻）畜、禽产品</w:t>
            </w:r>
            <w:r>
              <w:rPr>
                <w:rFonts w:ascii="仿宋_GB2312" w:hAnsi="仿宋_GB2312" w:cs="仿宋_GB2312" w:eastAsia="仿宋_GB2312"/>
                <w:sz w:val="21"/>
              </w:rPr>
              <w:t>»</w:t>
            </w:r>
            <w:r>
              <w:rPr>
                <w:rFonts w:ascii="仿宋_GB2312" w:hAnsi="仿宋_GB2312" w:cs="仿宋_GB2312" w:eastAsia="仿宋_GB2312"/>
                <w:sz w:val="21"/>
              </w:rPr>
              <w:t>标准</w:t>
            </w:r>
          </w:p>
          <w:p>
            <w:pPr>
              <w:pStyle w:val="null5"/>
              <w:jc w:val="both"/>
            </w:pPr>
            <w:r>
              <w:rPr>
                <w:rFonts w:ascii="仿宋_GB2312" w:hAnsi="仿宋_GB2312" w:cs="仿宋_GB2312" w:eastAsia="仿宋_GB2312"/>
                <w:sz w:val="21"/>
              </w:rPr>
              <w:t>6</w:t>
            </w:r>
            <w:r>
              <w:rPr>
                <w:rFonts w:ascii="仿宋_GB2312" w:hAnsi="仿宋_GB2312" w:cs="仿宋_GB2312" w:eastAsia="仿宋_GB2312"/>
                <w:sz w:val="21"/>
              </w:rPr>
              <w:t>、所有食材采购量为估算量仅供食材报价参考，不作为食材采购合同法律依据。</w:t>
            </w:r>
          </w:p>
          <w:p>
            <w:pPr>
              <w:pStyle w:val="null5"/>
              <w:jc w:val="both"/>
            </w:pPr>
            <w:r>
              <w:rPr>
                <w:rFonts w:ascii="仿宋_GB2312" w:hAnsi="仿宋_GB2312" w:cs="仿宋_GB2312" w:eastAsia="仿宋_GB2312"/>
                <w:sz w:val="21"/>
              </w:rPr>
              <w:t>注：中标人负责供货产品的食品安全，必须做到来源可溯。中标者所供应的食材不得高于同品牌、同规格食材市场价格。及时配送，不得超越新鲜时限；运输工具、包装材料和货物运输途中的防护措施必须符合相关规定和要求，所有食材应根据采购人每日需求按单供应、必须无条件按采购人规定的时间，按时运送到要求的地点。食材配送到采购人单位后，应规范装卸。配送时间：每天上午</w:t>
            </w:r>
            <w:r>
              <w:rPr>
                <w:rFonts w:ascii="仿宋_GB2312" w:hAnsi="仿宋_GB2312" w:cs="仿宋_GB2312" w:eastAsia="仿宋_GB2312"/>
                <w:sz w:val="21"/>
              </w:rPr>
              <w:t>04</w:t>
            </w:r>
            <w:r>
              <w:rPr>
                <w:rFonts w:ascii="仿宋_GB2312" w:hAnsi="仿宋_GB2312" w:cs="仿宋_GB2312" w:eastAsia="仿宋_GB2312"/>
                <w:sz w:val="21"/>
              </w:rPr>
              <w:t>：</w:t>
            </w:r>
            <w:r>
              <w:rPr>
                <w:rFonts w:ascii="仿宋_GB2312" w:hAnsi="仿宋_GB2312" w:cs="仿宋_GB2312" w:eastAsia="仿宋_GB2312"/>
                <w:sz w:val="21"/>
              </w:rPr>
              <w:t>00</w:t>
            </w:r>
            <w:r>
              <w:rPr>
                <w:rFonts w:ascii="仿宋_GB2312" w:hAnsi="仿宋_GB2312" w:cs="仿宋_GB2312" w:eastAsia="仿宋_GB2312"/>
                <w:sz w:val="21"/>
              </w:rPr>
              <w:t>前配送到采购人要求位置：如遇特殊情况，甲方确需多次供货的，乙方应按照甲方要求及时将所需副食品配送到位，如每月有两次及以上未按规定时间送货，</w:t>
            </w:r>
            <w:r>
              <w:rPr>
                <w:rFonts w:ascii="仿宋_GB2312" w:hAnsi="仿宋_GB2312" w:cs="仿宋_GB2312" w:eastAsia="仿宋_GB2312"/>
                <w:sz w:val="21"/>
              </w:rPr>
              <w:t>甲方有权解除合同并扣留履约保证金</w:t>
            </w:r>
            <w:r>
              <w:rPr>
                <w:rFonts w:ascii="仿宋_GB2312" w:hAnsi="仿宋_GB2312" w:cs="仿宋_GB2312" w:eastAsia="仿宋_GB2312"/>
                <w:sz w:val="21"/>
              </w:rPr>
              <w:t>。</w:t>
            </w:r>
          </w:p>
          <w:p>
            <w:pPr>
              <w:pStyle w:val="null5"/>
              <w:jc w:val="both"/>
            </w:pPr>
            <w:r>
              <w:rPr>
                <w:rFonts w:ascii="仿宋_GB2312" w:hAnsi="仿宋_GB2312" w:cs="仿宋_GB2312" w:eastAsia="仿宋_GB2312"/>
                <w:sz w:val="21"/>
              </w:rPr>
              <w:t>肉类供货标准：</w:t>
            </w:r>
          </w:p>
          <w:p>
            <w:pPr>
              <w:pStyle w:val="null5"/>
              <w:jc w:val="both"/>
            </w:pPr>
            <w:r>
              <w:rPr>
                <w:rFonts w:ascii="仿宋_GB2312" w:hAnsi="仿宋_GB2312" w:cs="仿宋_GB2312" w:eastAsia="仿宋_GB2312"/>
                <w:sz w:val="21"/>
              </w:rPr>
              <w:t>1</w:t>
            </w:r>
            <w:r>
              <w:rPr>
                <w:rFonts w:ascii="仿宋_GB2312" w:hAnsi="仿宋_GB2312" w:cs="仿宋_GB2312" w:eastAsia="仿宋_GB2312"/>
                <w:sz w:val="21"/>
              </w:rPr>
              <w:t>、猪肉：本地新鲜猪后丘肉、猪排骨为精排骨，必须具有动物检验检疫合格证明或化验单，色泽鲜艳，无注水，表面有一层微干的薄膜，瘦肉新切面稍湿润，淡玫瑰色或淡红色，触摸有弹性，不沾手，指压不留陷窝，外表干净，皮毛清理干净，无异味，根据需要进行了改刀和加工，含水量检测值低于</w:t>
            </w:r>
            <w:r>
              <w:rPr>
                <w:rFonts w:ascii="仿宋_GB2312" w:hAnsi="仿宋_GB2312" w:cs="仿宋_GB2312" w:eastAsia="仿宋_GB2312"/>
                <w:sz w:val="21"/>
              </w:rPr>
              <w:t>77%</w:t>
            </w:r>
            <w:r>
              <w:rPr>
                <w:rFonts w:ascii="仿宋_GB2312" w:hAnsi="仿宋_GB2312" w:cs="仿宋_GB2312" w:eastAsia="仿宋_GB2312"/>
                <w:sz w:val="21"/>
              </w:rPr>
              <w:t>。</w:t>
            </w:r>
          </w:p>
          <w:p>
            <w:pPr>
              <w:pStyle w:val="null5"/>
              <w:jc w:val="both"/>
            </w:pPr>
            <w:r>
              <w:rPr>
                <w:rFonts w:ascii="仿宋_GB2312" w:hAnsi="仿宋_GB2312" w:cs="仿宋_GB2312" w:eastAsia="仿宋_GB2312"/>
                <w:sz w:val="21"/>
              </w:rPr>
              <w:t>2</w:t>
            </w:r>
            <w:r>
              <w:rPr>
                <w:rFonts w:ascii="仿宋_GB2312" w:hAnsi="仿宋_GB2312" w:cs="仿宋_GB2312" w:eastAsia="仿宋_GB2312"/>
                <w:sz w:val="21"/>
              </w:rPr>
              <w:t>、牛肉：本地新鲜牛肉（牛肉为后腿肉不带筋），必须具有动物检验检疫合格证明或化验单，肌肉有光泽，色泽鲜红或深红，脂肪呈乳白色或黄色，外表微干有风干膜，不沾手，具有鲜牛羊肉正常气味，牛羊肉含水量检测值分别低于</w:t>
            </w:r>
            <w:r>
              <w:rPr>
                <w:rFonts w:ascii="仿宋_GB2312" w:hAnsi="仿宋_GB2312" w:cs="仿宋_GB2312" w:eastAsia="仿宋_GB2312"/>
                <w:sz w:val="21"/>
              </w:rPr>
              <w:t>77%</w:t>
            </w:r>
            <w:r>
              <w:rPr>
                <w:rFonts w:ascii="仿宋_GB2312" w:hAnsi="仿宋_GB2312" w:cs="仿宋_GB2312" w:eastAsia="仿宋_GB2312"/>
                <w:sz w:val="21"/>
              </w:rPr>
              <w:t>和</w:t>
            </w:r>
            <w:r>
              <w:rPr>
                <w:rFonts w:ascii="仿宋_GB2312" w:hAnsi="仿宋_GB2312" w:cs="仿宋_GB2312" w:eastAsia="仿宋_GB2312"/>
                <w:sz w:val="21"/>
              </w:rPr>
              <w:t>78%</w:t>
            </w:r>
            <w:r>
              <w:rPr>
                <w:rFonts w:ascii="仿宋_GB2312" w:hAnsi="仿宋_GB2312" w:cs="仿宋_GB2312" w:eastAsia="仿宋_GB2312"/>
                <w:sz w:val="21"/>
              </w:rPr>
              <w:t>。</w:t>
            </w:r>
          </w:p>
          <w:p>
            <w:pPr>
              <w:pStyle w:val="null5"/>
              <w:jc w:val="both"/>
            </w:pPr>
            <w:r>
              <w:rPr>
                <w:rFonts w:ascii="仿宋_GB2312" w:hAnsi="仿宋_GB2312" w:cs="仿宋_GB2312" w:eastAsia="仿宋_GB2312"/>
                <w:sz w:val="21"/>
              </w:rPr>
              <w:t>3</w:t>
            </w:r>
            <w:r>
              <w:rPr>
                <w:rFonts w:ascii="仿宋_GB2312" w:hAnsi="仿宋_GB2312" w:cs="仿宋_GB2312" w:eastAsia="仿宋_GB2312"/>
                <w:sz w:val="21"/>
              </w:rPr>
              <w:t>、中标人负责供货产品的食品安全，必须做到来源可溯。中标者所供应的食材不得高于市场价格。及时配送，不得超越新鲜时限；运输工具、包装材料和货物运输途中的防护措施必须符合相关规定和要求，所有食材应根据采购人每日需求按单供应、必须无条件按采购人规定的时间，按时运送到要求的地点。食材配送到采购人单位后，应规范装卸。配送时间：每天上午</w:t>
            </w:r>
            <w:r>
              <w:rPr>
                <w:rFonts w:ascii="仿宋_GB2312" w:hAnsi="仿宋_GB2312" w:cs="仿宋_GB2312" w:eastAsia="仿宋_GB2312"/>
                <w:sz w:val="21"/>
              </w:rPr>
              <w:t>04</w:t>
            </w:r>
            <w:r>
              <w:rPr>
                <w:rFonts w:ascii="仿宋_GB2312" w:hAnsi="仿宋_GB2312" w:cs="仿宋_GB2312" w:eastAsia="仿宋_GB2312"/>
                <w:sz w:val="21"/>
              </w:rPr>
              <w:t>：</w:t>
            </w:r>
            <w:r>
              <w:rPr>
                <w:rFonts w:ascii="仿宋_GB2312" w:hAnsi="仿宋_GB2312" w:cs="仿宋_GB2312" w:eastAsia="仿宋_GB2312"/>
                <w:sz w:val="21"/>
              </w:rPr>
              <w:t>00</w:t>
            </w:r>
            <w:r>
              <w:rPr>
                <w:rFonts w:ascii="仿宋_GB2312" w:hAnsi="仿宋_GB2312" w:cs="仿宋_GB2312" w:eastAsia="仿宋_GB2312"/>
                <w:sz w:val="21"/>
              </w:rPr>
              <w:t>前配送到采购人要求位置：如遇特殊情况，甲方确需多次供货的，乙方应按照甲方要求及时将所需副食品配送到位，</w:t>
            </w:r>
            <w:r>
              <w:rPr>
                <w:rFonts w:ascii="仿宋_GB2312" w:hAnsi="仿宋_GB2312" w:cs="仿宋_GB2312" w:eastAsia="仿宋_GB2312"/>
                <w:sz w:val="21"/>
              </w:rPr>
              <w:t>如每月有两次及以上未按规定时间送货，甲方有权解除合同并扣留履约保证金</w:t>
            </w:r>
            <w:r>
              <w:rPr>
                <w:rFonts w:ascii="仿宋_GB2312" w:hAnsi="仿宋_GB2312" w:cs="仿宋_GB2312" w:eastAsia="仿宋_GB2312"/>
                <w:sz w:val="21"/>
              </w:rPr>
              <w:t>。配送人员应具有有效期内的健康合格证并提供给招标人备案。</w:t>
            </w:r>
          </w:p>
          <w:p>
            <w:pPr>
              <w:pStyle w:val="null5"/>
              <w:jc w:val="both"/>
            </w:pPr>
            <w:r>
              <w:rPr>
                <w:rFonts w:ascii="仿宋_GB2312" w:hAnsi="仿宋_GB2312" w:cs="仿宋_GB2312" w:eastAsia="仿宋_GB2312"/>
                <w:sz w:val="21"/>
              </w:rPr>
              <w:t>4</w:t>
            </w:r>
            <w:r>
              <w:rPr>
                <w:rFonts w:ascii="仿宋_GB2312" w:hAnsi="仿宋_GB2312" w:cs="仿宋_GB2312" w:eastAsia="仿宋_GB2312"/>
                <w:sz w:val="21"/>
              </w:rPr>
              <w:t>、所有食材采购量为估算量仅供食材报价参考，不作为食材采购合同法律依据。</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标的名称：米面粮油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832"/>
              <w:gridCol w:w="530"/>
              <w:gridCol w:w="485"/>
              <w:gridCol w:w="700"/>
            </w:tblGrid>
            <w:tr>
              <w:tc>
                <w:tcPr>
                  <w:tcW w:type="dxa" w:w="8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大米</w:t>
                  </w:r>
                </w:p>
              </w:tc>
              <w:tc>
                <w:tcPr>
                  <w:tcW w:type="dxa" w:w="5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25KG/袋</w:t>
                  </w:r>
                </w:p>
              </w:tc>
              <w:tc>
                <w:tcPr>
                  <w:tcW w:type="dxa" w:w="4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斤</w:t>
                  </w:r>
                </w:p>
              </w:tc>
              <w:tc>
                <w:tcPr>
                  <w:tcW w:type="dxa" w:w="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60600</w:t>
                  </w:r>
                </w:p>
              </w:tc>
            </w:tr>
            <w:tr>
              <w:tc>
                <w:tcPr>
                  <w:tcW w:type="dxa" w:w="8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白面</w:t>
                  </w:r>
                </w:p>
              </w:tc>
              <w:tc>
                <w:tcPr>
                  <w:tcW w:type="dxa" w:w="5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25KG/袋</w:t>
                  </w:r>
                </w:p>
              </w:tc>
              <w:tc>
                <w:tcPr>
                  <w:tcW w:type="dxa" w:w="4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斤</w:t>
                  </w:r>
                </w:p>
              </w:tc>
              <w:tc>
                <w:tcPr>
                  <w:tcW w:type="dxa" w:w="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14600</w:t>
                  </w:r>
                </w:p>
              </w:tc>
            </w:tr>
            <w:tr>
              <w:tc>
                <w:tcPr>
                  <w:tcW w:type="dxa" w:w="8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八宝米</w:t>
                  </w:r>
                </w:p>
              </w:tc>
              <w:tc>
                <w:tcPr>
                  <w:tcW w:type="dxa" w:w="53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斤</w:t>
                  </w:r>
                </w:p>
              </w:tc>
              <w:tc>
                <w:tcPr>
                  <w:tcW w:type="dxa" w:w="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803</w:t>
                  </w:r>
                </w:p>
              </w:tc>
            </w:tr>
            <w:tr>
              <w:tc>
                <w:tcPr>
                  <w:tcW w:type="dxa" w:w="8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黄豆</w:t>
                  </w:r>
                </w:p>
              </w:tc>
              <w:tc>
                <w:tcPr>
                  <w:tcW w:type="dxa" w:w="53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斤</w:t>
                  </w:r>
                </w:p>
              </w:tc>
              <w:tc>
                <w:tcPr>
                  <w:tcW w:type="dxa" w:w="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4000</w:t>
                  </w:r>
                </w:p>
              </w:tc>
            </w:tr>
            <w:tr>
              <w:tc>
                <w:tcPr>
                  <w:tcW w:type="dxa" w:w="8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豇豆</w:t>
                  </w:r>
                </w:p>
              </w:tc>
              <w:tc>
                <w:tcPr>
                  <w:tcW w:type="dxa" w:w="53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斤</w:t>
                  </w:r>
                </w:p>
              </w:tc>
              <w:tc>
                <w:tcPr>
                  <w:tcW w:type="dxa" w:w="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600</w:t>
                  </w:r>
                </w:p>
              </w:tc>
            </w:tr>
            <w:tr>
              <w:tc>
                <w:tcPr>
                  <w:tcW w:type="dxa" w:w="8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小米</w:t>
                  </w:r>
                </w:p>
              </w:tc>
              <w:tc>
                <w:tcPr>
                  <w:tcW w:type="dxa" w:w="53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斤</w:t>
                  </w:r>
                </w:p>
              </w:tc>
              <w:tc>
                <w:tcPr>
                  <w:tcW w:type="dxa" w:w="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600</w:t>
                  </w:r>
                </w:p>
              </w:tc>
            </w:tr>
            <w:tr>
              <w:tc>
                <w:tcPr>
                  <w:tcW w:type="dxa" w:w="8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紫薯粉</w:t>
                  </w:r>
                </w:p>
              </w:tc>
              <w:tc>
                <w:tcPr>
                  <w:tcW w:type="dxa" w:w="53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斤</w:t>
                  </w:r>
                </w:p>
              </w:tc>
              <w:tc>
                <w:tcPr>
                  <w:tcW w:type="dxa" w:w="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40</w:t>
                  </w:r>
                </w:p>
              </w:tc>
            </w:tr>
            <w:tr>
              <w:tc>
                <w:tcPr>
                  <w:tcW w:type="dxa" w:w="8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葵花油</w:t>
                  </w:r>
                </w:p>
              </w:tc>
              <w:tc>
                <w:tcPr>
                  <w:tcW w:type="dxa" w:w="5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1*4桶*5L</w:t>
                  </w:r>
                </w:p>
              </w:tc>
              <w:tc>
                <w:tcPr>
                  <w:tcW w:type="dxa" w:w="4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件</w:t>
                  </w:r>
                </w:p>
              </w:tc>
              <w:tc>
                <w:tcPr>
                  <w:tcW w:type="dxa" w:w="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186</w:t>
                  </w:r>
                </w:p>
              </w:tc>
            </w:tr>
          </w:tbl>
          <w:p>
            <w:pPr>
              <w:pStyle w:val="null5"/>
              <w:jc w:val="both"/>
            </w:pPr>
            <w:r>
              <w:rPr>
                <w:rFonts w:ascii="仿宋_GB2312" w:hAnsi="仿宋_GB2312" w:cs="仿宋_GB2312" w:eastAsia="仿宋_GB2312"/>
              </w:rPr>
              <w:t>投标文件中大米需提供镉、黄曲霉毒素等指标的检测报告。</w:t>
            </w:r>
          </w:p>
          <w:p>
            <w:pPr>
              <w:pStyle w:val="null5"/>
              <w:jc w:val="both"/>
            </w:pPr>
            <w:r>
              <w:rPr>
                <w:rFonts w:ascii="仿宋_GB2312" w:hAnsi="仿宋_GB2312" w:cs="仿宋_GB2312" w:eastAsia="仿宋_GB2312"/>
                <w:sz w:val="21"/>
              </w:rPr>
              <w:t>米面粮油供货标准：</w:t>
            </w:r>
          </w:p>
          <w:p>
            <w:pPr>
              <w:pStyle w:val="null5"/>
              <w:jc w:val="both"/>
            </w:pPr>
            <w:r>
              <w:rPr>
                <w:rFonts w:ascii="仿宋_GB2312" w:hAnsi="仿宋_GB2312" w:cs="仿宋_GB2312" w:eastAsia="仿宋_GB2312"/>
                <w:sz w:val="21"/>
              </w:rPr>
              <w:t>1</w:t>
            </w:r>
            <w:r>
              <w:rPr>
                <w:rFonts w:ascii="仿宋_GB2312" w:hAnsi="仿宋_GB2312" w:cs="仿宋_GB2312" w:eastAsia="仿宋_GB2312"/>
                <w:sz w:val="21"/>
              </w:rPr>
              <w:t>、所有食品必须符合国家《中华人民共和国食品安全法》和行业相关标准，对于质量有问题的食品要保证退货，并及时更换符合质量标准的食品。</w:t>
            </w:r>
          </w:p>
          <w:p>
            <w:pPr>
              <w:pStyle w:val="null5"/>
              <w:jc w:val="both"/>
            </w:pPr>
            <w:r>
              <w:rPr>
                <w:rFonts w:ascii="仿宋_GB2312" w:hAnsi="仿宋_GB2312" w:cs="仿宋_GB2312" w:eastAsia="仿宋_GB2312"/>
                <w:sz w:val="21"/>
              </w:rPr>
              <w:t>2</w:t>
            </w:r>
            <w:r>
              <w:rPr>
                <w:rFonts w:ascii="仿宋_GB2312" w:hAnsi="仿宋_GB2312" w:cs="仿宋_GB2312" w:eastAsia="仿宋_GB2312"/>
                <w:sz w:val="21"/>
              </w:rPr>
              <w:t>、必须保证食材保质期在食用时不得超过规定保质期的一半时间。</w:t>
            </w:r>
          </w:p>
          <w:p>
            <w:pPr>
              <w:pStyle w:val="null5"/>
              <w:jc w:val="both"/>
            </w:pPr>
            <w:r>
              <w:rPr>
                <w:rFonts w:ascii="仿宋_GB2312" w:hAnsi="仿宋_GB2312" w:cs="仿宋_GB2312" w:eastAsia="仿宋_GB2312"/>
                <w:sz w:val="21"/>
              </w:rPr>
              <w:t>3</w:t>
            </w:r>
            <w:r>
              <w:rPr>
                <w:rFonts w:ascii="仿宋_GB2312" w:hAnsi="仿宋_GB2312" w:cs="仿宋_GB2312" w:eastAsia="仿宋_GB2312"/>
                <w:sz w:val="21"/>
              </w:rPr>
              <w:t>、成交供货商必须保证供货的食品安全、供货食品的及时、供货食品运输安全。</w:t>
            </w:r>
          </w:p>
          <w:p>
            <w:pPr>
              <w:pStyle w:val="null5"/>
              <w:jc w:val="both"/>
            </w:pPr>
            <w:r>
              <w:rPr>
                <w:rFonts w:ascii="仿宋_GB2312" w:hAnsi="仿宋_GB2312" w:cs="仿宋_GB2312" w:eastAsia="仿宋_GB2312"/>
                <w:sz w:val="21"/>
              </w:rPr>
              <w:t>4</w:t>
            </w:r>
            <w:r>
              <w:rPr>
                <w:rFonts w:ascii="仿宋_GB2312" w:hAnsi="仿宋_GB2312" w:cs="仿宋_GB2312" w:eastAsia="仿宋_GB2312"/>
                <w:sz w:val="21"/>
              </w:rPr>
              <w:t>、供应商所供每一批次的产品，必须符合国家相关标准。</w:t>
            </w:r>
          </w:p>
          <w:p>
            <w:pPr>
              <w:pStyle w:val="null5"/>
              <w:jc w:val="both"/>
            </w:pPr>
            <w:r>
              <w:rPr>
                <w:rFonts w:ascii="仿宋_GB2312" w:hAnsi="仿宋_GB2312" w:cs="仿宋_GB2312" w:eastAsia="仿宋_GB2312"/>
                <w:sz w:val="21"/>
              </w:rPr>
              <w:t>5</w:t>
            </w:r>
            <w:r>
              <w:rPr>
                <w:rFonts w:ascii="仿宋_GB2312" w:hAnsi="仿宋_GB2312" w:cs="仿宋_GB2312" w:eastAsia="仿宋_GB2312"/>
                <w:sz w:val="21"/>
              </w:rPr>
              <w:t>、必须用专用车辆配送，并定期对车辆清洁消毒。禁止与有毒、有害、有异味的物品混装运输，送货时不得有污染事故发生。</w:t>
            </w:r>
          </w:p>
          <w:p>
            <w:pPr>
              <w:pStyle w:val="null5"/>
              <w:jc w:val="both"/>
            </w:pPr>
            <w:r>
              <w:rPr>
                <w:rFonts w:ascii="仿宋_GB2312" w:hAnsi="仿宋_GB2312" w:cs="仿宋_GB2312" w:eastAsia="仿宋_GB2312"/>
                <w:sz w:val="21"/>
              </w:rPr>
              <w:t>6</w:t>
            </w:r>
            <w:r>
              <w:rPr>
                <w:rFonts w:ascii="仿宋_GB2312" w:hAnsi="仿宋_GB2312" w:cs="仿宋_GB2312" w:eastAsia="仿宋_GB2312"/>
                <w:sz w:val="21"/>
              </w:rPr>
              <w:t>、每次供货必须向采购人提供当批次质量检验合格证等证明。</w:t>
            </w:r>
          </w:p>
          <w:p>
            <w:pPr>
              <w:pStyle w:val="null5"/>
              <w:jc w:val="both"/>
            </w:pPr>
            <w:r>
              <w:rPr>
                <w:rFonts w:ascii="仿宋_GB2312" w:hAnsi="仿宋_GB2312" w:cs="仿宋_GB2312" w:eastAsia="仿宋_GB2312"/>
                <w:sz w:val="21"/>
              </w:rPr>
              <w:t>7</w:t>
            </w:r>
            <w:r>
              <w:rPr>
                <w:rFonts w:ascii="仿宋_GB2312" w:hAnsi="仿宋_GB2312" w:cs="仿宋_GB2312" w:eastAsia="仿宋_GB2312"/>
                <w:sz w:val="21"/>
              </w:rPr>
              <w:t>、配送车辆和人员进入甲方要求区域后，必须遵守有关交通、安全、门禁和区域食品安全等方面的要求。</w:t>
            </w:r>
          </w:p>
          <w:p>
            <w:pPr>
              <w:pStyle w:val="null5"/>
              <w:jc w:val="both"/>
            </w:pPr>
            <w:r>
              <w:rPr>
                <w:rFonts w:ascii="仿宋_GB2312" w:hAnsi="仿宋_GB2312" w:cs="仿宋_GB2312" w:eastAsia="仿宋_GB2312"/>
                <w:sz w:val="21"/>
              </w:rPr>
              <w:t>8</w:t>
            </w:r>
            <w:r>
              <w:rPr>
                <w:rFonts w:ascii="仿宋_GB2312" w:hAnsi="仿宋_GB2312" w:cs="仿宋_GB2312" w:eastAsia="仿宋_GB2312"/>
                <w:sz w:val="21"/>
              </w:rPr>
              <w:t>、所有食材采购量为估算量仅供食材报价参考，不作为食材采购合同法律依据。</w:t>
            </w:r>
          </w:p>
          <w:p>
            <w:pPr>
              <w:pStyle w:val="null5"/>
              <w:jc w:val="both"/>
            </w:pPr>
            <w:r>
              <w:rPr>
                <w:rFonts w:ascii="仿宋_GB2312" w:hAnsi="仿宋_GB2312" w:cs="仿宋_GB2312" w:eastAsia="仿宋_GB2312"/>
                <w:sz w:val="21"/>
              </w:rPr>
              <w:t>9</w:t>
            </w:r>
            <w:r>
              <w:rPr>
                <w:rFonts w:ascii="仿宋_GB2312" w:hAnsi="仿宋_GB2312" w:cs="仿宋_GB2312" w:eastAsia="仿宋_GB2312"/>
                <w:sz w:val="21"/>
              </w:rPr>
              <w:t>、中标人负责供货产品的食品安全，必须做到来源可溯。及时生产，及时配送，不得超越新鲜时限；运输工具、包装材料和货物运输途中的防护措施必须符合相关规定和要求，所有食材应根据采购人每日需求按单供应、必须无条件按采购人规定的时间，按时运送到要求的地点，</w:t>
            </w:r>
            <w:r>
              <w:rPr>
                <w:rFonts w:ascii="仿宋_GB2312" w:hAnsi="仿宋_GB2312" w:cs="仿宋_GB2312" w:eastAsia="仿宋_GB2312"/>
                <w:sz w:val="21"/>
              </w:rPr>
              <w:t>配送时间：每天上午</w:t>
            </w:r>
            <w:r>
              <w:rPr>
                <w:rFonts w:ascii="仿宋_GB2312" w:hAnsi="仿宋_GB2312" w:cs="仿宋_GB2312" w:eastAsia="仿宋_GB2312"/>
                <w:sz w:val="21"/>
              </w:rPr>
              <w:t>04</w:t>
            </w:r>
            <w:r>
              <w:rPr>
                <w:rFonts w:ascii="仿宋_GB2312" w:hAnsi="仿宋_GB2312" w:cs="仿宋_GB2312" w:eastAsia="仿宋_GB2312"/>
                <w:sz w:val="21"/>
              </w:rPr>
              <w:t>：</w:t>
            </w:r>
            <w:r>
              <w:rPr>
                <w:rFonts w:ascii="仿宋_GB2312" w:hAnsi="仿宋_GB2312" w:cs="仿宋_GB2312" w:eastAsia="仿宋_GB2312"/>
                <w:sz w:val="21"/>
              </w:rPr>
              <w:t>00</w:t>
            </w:r>
            <w:r>
              <w:rPr>
                <w:rFonts w:ascii="仿宋_GB2312" w:hAnsi="仿宋_GB2312" w:cs="仿宋_GB2312" w:eastAsia="仿宋_GB2312"/>
                <w:sz w:val="21"/>
              </w:rPr>
              <w:t>前配送到采购人要求位置，</w:t>
            </w:r>
            <w:r>
              <w:rPr>
                <w:rFonts w:ascii="仿宋_GB2312" w:hAnsi="仿宋_GB2312" w:cs="仿宋_GB2312" w:eastAsia="仿宋_GB2312"/>
                <w:sz w:val="21"/>
              </w:rPr>
              <w:t>如每月有两次及以上未按规定时间送货，</w:t>
            </w:r>
            <w:r>
              <w:rPr>
                <w:rFonts w:ascii="仿宋_GB2312" w:hAnsi="仿宋_GB2312" w:cs="仿宋_GB2312" w:eastAsia="仿宋_GB2312"/>
                <w:sz w:val="21"/>
              </w:rPr>
              <w:t>甲方有权解除合同并扣留履约保证金</w:t>
            </w:r>
            <w:r>
              <w:rPr>
                <w:rFonts w:ascii="仿宋_GB2312" w:hAnsi="仿宋_GB2312" w:cs="仿宋_GB2312" w:eastAsia="仿宋_GB2312"/>
                <w:sz w:val="21"/>
              </w:rPr>
              <w:t>。食材配送到采购人单位后，应规范装卸。中标者所供应的食材不得高于同品牌、同规格食材市场价格。</w:t>
            </w:r>
          </w:p>
          <w:p>
            <w:pPr>
              <w:pStyle w:val="null5"/>
              <w:jc w:val="left"/>
            </w:pPr>
            <w:r>
              <w:rPr>
                <w:rFonts w:ascii="仿宋_GB2312" w:hAnsi="仿宋_GB2312" w:cs="仿宋_GB2312" w:eastAsia="仿宋_GB2312"/>
              </w:rPr>
              <w:t xml:space="preserve"> </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项目实施方案 (10.0分)</w:t>
            </w:r>
          </w:p>
        </w:tc>
        <w:tc>
          <w:tcPr>
            <w:tcW w:type="dxa" w:w="3115"/>
          </w:tcPr>
          <w:p>
            <w:pPr>
              <w:pStyle w:val="null5"/>
              <w:jc w:val="left"/>
            </w:pPr>
            <w:r>
              <w:rPr>
                <w:rFonts w:ascii="仿宋_GB2312" w:hAnsi="仿宋_GB2312" w:cs="仿宋_GB2312" w:eastAsia="仿宋_GB2312"/>
              </w:rPr>
              <w:t>根据供应商针对本项目提供的项目实施方案（包括但不限于：工作计划、送货时间、配送程序等)方面进行评分，实施方案完整、合理、可行性强得10分，方案比较完整合理、可行性一般得7分;方案不完整、不合理、可行性低得4分;未提供方案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食品质量保障方案及措施 (10.0 分)</w:t>
            </w:r>
          </w:p>
        </w:tc>
        <w:tc>
          <w:tcPr>
            <w:tcW w:type="dxa" w:w="3115"/>
          </w:tcPr>
          <w:p>
            <w:pPr>
              <w:pStyle w:val="null5"/>
              <w:jc w:val="left"/>
            </w:pPr>
            <w:r>
              <w:rPr>
                <w:rFonts w:ascii="仿宋_GB2312" w:hAnsi="仿宋_GB2312" w:cs="仿宋_GB2312" w:eastAsia="仿宋_GB2312"/>
              </w:rPr>
              <w:t>方案及措施完整、合理、可行性强得10分，方案及措施比较完整合理、可行性一般得7分;方案及措施不完整、不合理、可行性低得4分;未提供得0分。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卫生管理制度及保障措施 (10.0 分)</w:t>
            </w:r>
          </w:p>
        </w:tc>
        <w:tc>
          <w:tcPr>
            <w:tcW w:type="dxa" w:w="3115"/>
          </w:tcPr>
          <w:p>
            <w:pPr>
              <w:pStyle w:val="null5"/>
              <w:jc w:val="left"/>
            </w:pPr>
            <w:r>
              <w:rPr>
                <w:rFonts w:ascii="仿宋_GB2312" w:hAnsi="仿宋_GB2312" w:cs="仿宋_GB2312" w:eastAsia="仿宋_GB2312"/>
              </w:rPr>
              <w:t>制度及保障完整、合理、可行性强得10分，制度及保障比较完整合理、可行性一般得7分;制度及保障不完整、不合理、可行性低得4分;未提供得0分。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安全保障方案及措施 (10.0 分)</w:t>
            </w:r>
          </w:p>
        </w:tc>
        <w:tc>
          <w:tcPr>
            <w:tcW w:type="dxa" w:w="3115"/>
          </w:tcPr>
          <w:p>
            <w:pPr>
              <w:pStyle w:val="null5"/>
              <w:jc w:val="left"/>
            </w:pPr>
            <w:r>
              <w:rPr>
                <w:rFonts w:ascii="仿宋_GB2312" w:hAnsi="仿宋_GB2312" w:cs="仿宋_GB2312" w:eastAsia="仿宋_GB2312"/>
              </w:rPr>
              <w:t>根据供应商提供的安全保障方案及防护措施进行综合评价，方案及措施完整、合理、可行性强得10分，方案及措施比较完整合理、可行性一般得7分;方案及措施不完整、不合理、可行性低得4分;未提供得0分。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售后服务方案 (10.0分)</w:t>
            </w:r>
          </w:p>
        </w:tc>
        <w:tc>
          <w:tcPr>
            <w:tcW w:type="dxa" w:w="3115"/>
          </w:tcPr>
          <w:p>
            <w:pPr>
              <w:pStyle w:val="null5"/>
              <w:jc w:val="left"/>
            </w:pPr>
            <w:r>
              <w:rPr>
                <w:rFonts w:ascii="仿宋_GB2312" w:hAnsi="仿宋_GB2312" w:cs="仿宋_GB2312" w:eastAsia="仿宋_GB2312"/>
              </w:rPr>
              <w:t>售后服务方案、服务体系、服务承诺等内容进行综合评价，方案完整、合理、可行性强得10分，方案比较完整合理、可行性一般得7分;方案不完整、不合理、可行性低得4分;未提供得0分。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类似业绩 (10.0分)</w:t>
            </w:r>
          </w:p>
        </w:tc>
        <w:tc>
          <w:tcPr>
            <w:tcW w:type="dxa" w:w="3115"/>
          </w:tcPr>
          <w:p>
            <w:pPr>
              <w:pStyle w:val="null5"/>
              <w:jc w:val="left"/>
            </w:pPr>
            <w:r>
              <w:rPr>
                <w:rFonts w:ascii="仿宋_GB2312" w:hAnsi="仿宋_GB2312" w:cs="仿宋_GB2312" w:eastAsia="仿宋_GB2312"/>
              </w:rPr>
              <w:t>提供近3年（2022年至投标截止时间）的类似项目业绩：每份加2.5分，最高得10分。注：提供中标通知书或合同复印件，不提供不得分。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配送能力 (5.0分)</w:t>
            </w:r>
          </w:p>
        </w:tc>
        <w:tc>
          <w:tcPr>
            <w:tcW w:type="dxa" w:w="3115"/>
          </w:tcPr>
          <w:p>
            <w:pPr>
              <w:pStyle w:val="null5"/>
              <w:jc w:val="left"/>
            </w:pPr>
            <w:r>
              <w:rPr>
                <w:rFonts w:ascii="仿宋_GB2312" w:hAnsi="仿宋_GB2312" w:cs="仿宋_GB2312" w:eastAsia="仿宋_GB2312"/>
              </w:rPr>
              <w:t>供应商拥有1辆厢式货车做为配送车辆，并提供带有车辆牌照的车辆整体照片，每辆车得2.5分，最高得5分，不提供不得分。注：如车辆为自有车辆需提供行驶证，如车辆为租赁车辆需提供租赁协议及行驶证。</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仓储能力 (5.0分)</w:t>
            </w:r>
          </w:p>
        </w:tc>
        <w:tc>
          <w:tcPr>
            <w:tcW w:type="dxa" w:w="3115"/>
          </w:tcPr>
          <w:p>
            <w:pPr>
              <w:pStyle w:val="null5"/>
              <w:jc w:val="left"/>
            </w:pPr>
            <w:r>
              <w:rPr>
                <w:rFonts w:ascii="仿宋_GB2312" w:hAnsi="仿宋_GB2312" w:cs="仿宋_GB2312" w:eastAsia="仿宋_GB2312"/>
              </w:rPr>
              <w:t>根据供应商的仓储场所面积≥100㎡得5分，≥80㎡得3分，＜80㎡得1分，无仓储场地不得分。注：①仓储场所为自有的，提供投标人的产权(或使用权)证明复印件及仓储场所的图片。②仓储场所非自有的,提供租房合同证明复印件及仓储场所的图片。③未能提供上述证明文件的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项目实施方案 (10.0分)</w:t>
            </w:r>
          </w:p>
        </w:tc>
        <w:tc>
          <w:tcPr>
            <w:tcW w:type="dxa" w:w="3115"/>
          </w:tcPr>
          <w:p>
            <w:pPr>
              <w:pStyle w:val="null5"/>
              <w:jc w:val="left"/>
            </w:pPr>
            <w:r>
              <w:rPr>
                <w:rFonts w:ascii="仿宋_GB2312" w:hAnsi="仿宋_GB2312" w:cs="仿宋_GB2312" w:eastAsia="仿宋_GB2312"/>
              </w:rPr>
              <w:t>根据供应商针对本项目提供的项目实施方案（包括但不限于：工作计划、送货时间、配送程序等)方面进行评分，实施方案完整、合理、可行性强得10分，方案比较完整合理、可行性一般得7分;方案不完整、不合理、可行性低得4分;未提供方案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食品质量保障方案及措施 (10.0 分)</w:t>
            </w:r>
          </w:p>
        </w:tc>
        <w:tc>
          <w:tcPr>
            <w:tcW w:type="dxa" w:w="3115"/>
          </w:tcPr>
          <w:p>
            <w:pPr>
              <w:pStyle w:val="null5"/>
              <w:jc w:val="left"/>
            </w:pPr>
            <w:r>
              <w:rPr>
                <w:rFonts w:ascii="仿宋_GB2312" w:hAnsi="仿宋_GB2312" w:cs="仿宋_GB2312" w:eastAsia="仿宋_GB2312"/>
              </w:rPr>
              <w:t>方案及措施完整、合理、可行性强得10分，方案及措施比较完整合理、可行性一般得7分;方案及措施不完整、不合理、可行性低得4分;未提供得0分。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卫生管理制度及保障措施 (10.0 分)</w:t>
            </w:r>
          </w:p>
        </w:tc>
        <w:tc>
          <w:tcPr>
            <w:tcW w:type="dxa" w:w="3115"/>
          </w:tcPr>
          <w:p>
            <w:pPr>
              <w:pStyle w:val="null5"/>
              <w:jc w:val="left"/>
            </w:pPr>
            <w:r>
              <w:rPr>
                <w:rFonts w:ascii="仿宋_GB2312" w:hAnsi="仿宋_GB2312" w:cs="仿宋_GB2312" w:eastAsia="仿宋_GB2312"/>
              </w:rPr>
              <w:t>制度及保障完整、合理、可行性强得10分，制度及保障比较完整合理、可行性一般得7分;制度及保障不完整、不合理、可行性低得4分;未提供得0分。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安全保障方案及措施 (10.0 分)</w:t>
            </w:r>
          </w:p>
        </w:tc>
        <w:tc>
          <w:tcPr>
            <w:tcW w:type="dxa" w:w="3115"/>
          </w:tcPr>
          <w:p>
            <w:pPr>
              <w:pStyle w:val="null5"/>
              <w:jc w:val="left"/>
            </w:pPr>
            <w:r>
              <w:rPr>
                <w:rFonts w:ascii="仿宋_GB2312" w:hAnsi="仿宋_GB2312" w:cs="仿宋_GB2312" w:eastAsia="仿宋_GB2312"/>
              </w:rPr>
              <w:t>根据供应商提供的安全保障方案及防护措施进行综合评价，方案及措施完整、合理、可行性强得10分，方案及措施比较完整合理、可行性一般得7分;方案及措施不完整、不合理、可行性低得4分;未提供得0分。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售后服务方案 (10.0分)</w:t>
            </w:r>
          </w:p>
        </w:tc>
        <w:tc>
          <w:tcPr>
            <w:tcW w:type="dxa" w:w="3115"/>
          </w:tcPr>
          <w:p>
            <w:pPr>
              <w:pStyle w:val="null5"/>
              <w:jc w:val="left"/>
            </w:pPr>
            <w:r>
              <w:rPr>
                <w:rFonts w:ascii="仿宋_GB2312" w:hAnsi="仿宋_GB2312" w:cs="仿宋_GB2312" w:eastAsia="仿宋_GB2312"/>
              </w:rPr>
              <w:t>售后服务方案、服务体系、服务承诺等内容进行综合评价，方案完整、合理、可行性强得10分，方案比较完整合理、可行性一般得7分;方案不完整、不合理、可行性低得4分;未提供得0分。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类似业绩 (10.0分)</w:t>
            </w:r>
          </w:p>
        </w:tc>
        <w:tc>
          <w:tcPr>
            <w:tcW w:type="dxa" w:w="3115"/>
          </w:tcPr>
          <w:p>
            <w:pPr>
              <w:pStyle w:val="null5"/>
              <w:jc w:val="left"/>
            </w:pPr>
            <w:r>
              <w:rPr>
                <w:rFonts w:ascii="仿宋_GB2312" w:hAnsi="仿宋_GB2312" w:cs="仿宋_GB2312" w:eastAsia="仿宋_GB2312"/>
              </w:rPr>
              <w:t>提供近3年（2022年至投标截止时间）的类似项目业绩：每份加2.5分，最高得10分。注：提供中标通知书或合同复印件，不提供不得分。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配送能力 (5.0分)</w:t>
            </w:r>
          </w:p>
        </w:tc>
        <w:tc>
          <w:tcPr>
            <w:tcW w:type="dxa" w:w="3115"/>
          </w:tcPr>
          <w:p>
            <w:pPr>
              <w:pStyle w:val="null5"/>
              <w:jc w:val="left"/>
            </w:pPr>
            <w:r>
              <w:rPr>
                <w:rFonts w:ascii="仿宋_GB2312" w:hAnsi="仿宋_GB2312" w:cs="仿宋_GB2312" w:eastAsia="仿宋_GB2312"/>
              </w:rPr>
              <w:t>供应商拥有1辆厢式货车做为配送车辆，并提供带有车辆牌照的车辆整体照片，每辆车得2.5分，最高得5分，不提供不得分。注：如车辆为自有车辆需提供行驶证，如车辆为租赁车辆需提供租赁协议及行驶证。</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仓储能力 (5.0分)</w:t>
            </w:r>
          </w:p>
        </w:tc>
        <w:tc>
          <w:tcPr>
            <w:tcW w:type="dxa" w:w="3115"/>
          </w:tcPr>
          <w:p>
            <w:pPr>
              <w:pStyle w:val="null5"/>
              <w:jc w:val="left"/>
            </w:pPr>
            <w:r>
              <w:rPr>
                <w:rFonts w:ascii="仿宋_GB2312" w:hAnsi="仿宋_GB2312" w:cs="仿宋_GB2312" w:eastAsia="仿宋_GB2312"/>
              </w:rPr>
              <w:t>根据供应商的仓储场所面积≥100㎡得5分，≥80㎡得3分，＜80㎡得1分，无仓储场地不得分。注：①仓储场所为自有的，提供投标人的产权(或使用权)证明复印件及仓储场所的图片。②仓储场所非自有的,提供租房合同证明复印件及仓储场所的图片。③未能提供上述证明文件的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jc w:val="left"/>
      </w:pPr>
      <w:r>
        <w:rPr>
          <w:rFonts w:ascii="仿宋_GB2312" w:hAnsi="仿宋_GB2312" w:cs="仿宋_GB2312" w:eastAsia="仿宋_GB2312"/>
        </w:rPr>
        <w:t>采购包2：</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