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大青沟自然保护区1：500地形图现状规划测量项目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科尔沁左翼后旗大青沟自然保护区管理局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内蒙古泽润全过程项目管理有限公司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KZHQZCS-C-F-250002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内蒙古泽润全过程项目管理有限公司</w:t>
      </w:r>
      <w:r>
        <w:rPr>
          <w:rFonts w:ascii="仿宋_GB2312" w:hAnsi="仿宋_GB2312" w:cs="仿宋_GB2312" w:eastAsia="仿宋_GB2312"/>
        </w:rPr>
        <w:t xml:space="preserve"> 受 </w:t>
      </w:r>
      <w:r>
        <w:rPr>
          <w:rFonts w:ascii="仿宋_GB2312" w:hAnsi="仿宋_GB2312" w:cs="仿宋_GB2312" w:eastAsia="仿宋_GB2312"/>
        </w:rPr>
        <w:t>科尔沁左翼后旗大青沟自然保护区管理局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大青沟自然保护区1：500地形图现状规划测量项目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大青沟自然保护区1：500地形图现状规划测量项目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KZHQZCS-C-F-250002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150522[2025]00003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大青沟自然保护区1:500地形图现状规划测量项目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1,800,000.00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内蒙古泽润全过程项目管理有限公司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内蒙古自治区通辽市科尔沁区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刘冲</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18747840808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科尔沁左翼后旗大青沟自然保护区管理局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大青沟国家级自然保护区</w:t>
      </w:r>
    </w:p>
    <w:p>
      <w:pPr>
        <w:pStyle w:val="null5"/>
      </w:pPr>
      <w:r>
        <w:rPr>
          <w:rFonts w:ascii="仿宋_GB2312" w:hAnsi="仿宋_GB2312" w:cs="仿宋_GB2312" w:eastAsia="仿宋_GB2312"/>
        </w:rPr>
        <w:t xml:space="preserve"> 邮编： </w:t>
      </w:r>
      <w:r>
        <w:rPr>
          <w:rFonts w:ascii="仿宋_GB2312" w:hAnsi="仿宋_GB2312" w:cs="仿宋_GB2312" w:eastAsia="仿宋_GB2312"/>
        </w:rPr>
        <w:t>028131</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双喜</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14747501366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依据内财购〔2024〕139号 （四）打击恶意低价谋取成交行为。 为防范恶意低价谋取成交影响项目实施，采购人、代理机构可以在采购文件中明确，授权磋商（谈判）小组在认为供应商最终报价明显低于其他实质响应供应商报价、有可能影响施工质量、难以诚信履约时，要求供应商现场在合理的时间内提供书面说明，说明内容包括但不限于其最后报价与首次报价差额的原因、可诚信履约的具体理由等。供应商不能说明报价合理性的，磋商（谈判）小组可以将其作为无效响应。</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科尔沁左翼后旗大青沟自然保护区管理局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内蒙古泽润全过程项目管理有限公司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1：500地形图现状规划测量</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标的名称：大青沟自然保护区1:500地形图现状规划测量项目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b/>
                <w:color w:val="3E3E3E"/>
              </w:rPr>
              <w:t>坐标、高程要求</w:t>
            </w:r>
          </w:p>
          <w:p>
            <w:pPr>
              <w:pStyle w:val="null5"/>
              <w:jc w:val="left"/>
            </w:pPr>
            <w:r>
              <w:rPr>
                <w:rFonts w:ascii="仿宋_GB2312" w:hAnsi="仿宋_GB2312" w:cs="仿宋_GB2312" w:eastAsia="仿宋_GB2312"/>
                <w:sz w:val="24"/>
                <w:color w:val="3E3E3E"/>
              </w:rPr>
              <w:t>坐标系：</w:t>
            </w:r>
            <w:r>
              <w:rPr>
                <w:rFonts w:ascii="仿宋_GB2312" w:hAnsi="仿宋_GB2312" w:cs="仿宋_GB2312" w:eastAsia="仿宋_GB2312"/>
                <w:sz w:val="24"/>
                <w:color w:val="3E3E3E"/>
              </w:rPr>
              <w:t>2000</w:t>
            </w:r>
            <w:r>
              <w:rPr>
                <w:rFonts w:ascii="仿宋_GB2312" w:hAnsi="仿宋_GB2312" w:cs="仿宋_GB2312" w:eastAsia="仿宋_GB2312"/>
                <w:sz w:val="24"/>
                <w:color w:val="3E3E3E"/>
              </w:rPr>
              <w:t>国家大地坐标系</w:t>
            </w:r>
          </w:p>
          <w:p>
            <w:pPr>
              <w:pStyle w:val="null5"/>
              <w:jc w:val="left"/>
            </w:pPr>
            <w:r>
              <w:rPr>
                <w:rFonts w:ascii="仿宋_GB2312" w:hAnsi="仿宋_GB2312" w:cs="仿宋_GB2312" w:eastAsia="仿宋_GB2312"/>
                <w:sz w:val="24"/>
                <w:color w:val="3E3E3E"/>
              </w:rPr>
              <w:t>高程：</w:t>
            </w:r>
            <w:r>
              <w:rPr>
                <w:rFonts w:ascii="仿宋_GB2312" w:hAnsi="仿宋_GB2312" w:cs="仿宋_GB2312" w:eastAsia="仿宋_GB2312"/>
                <w:sz w:val="24"/>
                <w:color w:val="3E3E3E"/>
              </w:rPr>
              <w:t>85</w:t>
            </w:r>
            <w:r>
              <w:rPr>
                <w:rFonts w:ascii="仿宋_GB2312" w:hAnsi="仿宋_GB2312" w:cs="仿宋_GB2312" w:eastAsia="仿宋_GB2312"/>
                <w:sz w:val="24"/>
                <w:color w:val="3E3E3E"/>
              </w:rPr>
              <w:t>高程基准</w:t>
            </w:r>
          </w:p>
          <w:p>
            <w:pPr>
              <w:pStyle w:val="null5"/>
              <w:jc w:val="left"/>
            </w:pPr>
            <w:r>
              <w:rPr>
                <w:rFonts w:ascii="仿宋_GB2312" w:hAnsi="仿宋_GB2312" w:cs="仿宋_GB2312" w:eastAsia="仿宋_GB2312"/>
                <w:sz w:val="24"/>
                <w:b/>
                <w:color w:val="3E3E3E"/>
              </w:rPr>
              <w:t>地形图比例尺、控制要求</w:t>
            </w:r>
          </w:p>
          <w:p>
            <w:pPr>
              <w:pStyle w:val="null5"/>
              <w:jc w:val="left"/>
            </w:pPr>
            <w:r>
              <w:rPr>
                <w:rFonts w:ascii="仿宋_GB2312" w:hAnsi="仿宋_GB2312" w:cs="仿宋_GB2312" w:eastAsia="仿宋_GB2312"/>
                <w:sz w:val="24"/>
                <w:color w:val="3E3E3E"/>
              </w:rPr>
              <w:t>1</w:t>
            </w:r>
            <w:r>
              <w:rPr>
                <w:rFonts w:ascii="仿宋_GB2312" w:hAnsi="仿宋_GB2312" w:cs="仿宋_GB2312" w:eastAsia="仿宋_GB2312"/>
                <w:sz w:val="24"/>
                <w:color w:val="3E3E3E"/>
              </w:rPr>
              <w:t>∶</w:t>
            </w:r>
            <w:r>
              <w:rPr>
                <w:rFonts w:ascii="仿宋_GB2312" w:hAnsi="仿宋_GB2312" w:cs="仿宋_GB2312" w:eastAsia="仿宋_GB2312"/>
                <w:sz w:val="24"/>
                <w:color w:val="3E3E3E"/>
              </w:rPr>
              <w:t>5</w:t>
            </w:r>
            <w:r>
              <w:rPr>
                <w:rFonts w:ascii="仿宋_GB2312" w:hAnsi="仿宋_GB2312" w:cs="仿宋_GB2312" w:eastAsia="仿宋_GB2312"/>
                <w:sz w:val="24"/>
                <w:color w:val="3E3E3E"/>
              </w:rPr>
              <w:t>00</w:t>
            </w:r>
            <w:r>
              <w:rPr>
                <w:rFonts w:ascii="仿宋_GB2312" w:hAnsi="仿宋_GB2312" w:cs="仿宋_GB2312" w:eastAsia="仿宋_GB2312"/>
                <w:sz w:val="24"/>
                <w:color w:val="3E3E3E"/>
              </w:rPr>
              <w:t>地形图测绘。</w:t>
            </w:r>
          </w:p>
          <w:p>
            <w:pPr>
              <w:pStyle w:val="null5"/>
              <w:jc w:val="left"/>
            </w:pPr>
            <w:r>
              <w:rPr>
                <w:rFonts w:ascii="仿宋_GB2312" w:hAnsi="仿宋_GB2312" w:cs="仿宋_GB2312" w:eastAsia="仿宋_GB2312"/>
                <w:sz w:val="24"/>
                <w:color w:val="3E3E3E"/>
              </w:rPr>
              <w:t>E</w:t>
            </w:r>
            <w:r>
              <w:rPr>
                <w:rFonts w:ascii="仿宋_GB2312" w:hAnsi="仿宋_GB2312" w:cs="仿宋_GB2312" w:eastAsia="仿宋_GB2312"/>
                <w:sz w:val="24"/>
                <w:color w:val="3E3E3E"/>
              </w:rPr>
              <w:t>级</w:t>
            </w:r>
            <w:r>
              <w:rPr>
                <w:rFonts w:ascii="仿宋_GB2312" w:hAnsi="仿宋_GB2312" w:cs="仿宋_GB2312" w:eastAsia="仿宋_GB2312"/>
                <w:sz w:val="24"/>
                <w:color w:val="3E3E3E"/>
              </w:rPr>
              <w:t>GPS</w:t>
            </w:r>
            <w:r>
              <w:rPr>
                <w:rFonts w:ascii="仿宋_GB2312" w:hAnsi="仿宋_GB2312" w:cs="仿宋_GB2312" w:eastAsia="仿宋_GB2312"/>
                <w:sz w:val="24"/>
                <w:color w:val="3E3E3E"/>
              </w:rPr>
              <w:t>控制测量</w:t>
            </w:r>
            <w:r>
              <w:rPr>
                <w:rFonts w:ascii="仿宋_GB2312" w:hAnsi="仿宋_GB2312" w:cs="仿宋_GB2312" w:eastAsia="仿宋_GB2312"/>
                <w:sz w:val="24"/>
                <w:color w:val="3E3E3E"/>
              </w:rPr>
              <w:t>。</w:t>
            </w:r>
          </w:p>
          <w:p>
            <w:pPr>
              <w:pStyle w:val="null5"/>
              <w:jc w:val="left"/>
            </w:pPr>
            <w:r>
              <w:rPr>
                <w:rFonts w:ascii="仿宋_GB2312" w:hAnsi="仿宋_GB2312" w:cs="仿宋_GB2312" w:eastAsia="仿宋_GB2312"/>
                <w:sz w:val="24"/>
                <w:b/>
                <w:color w:val="3E3E3E"/>
              </w:rPr>
              <w:t>技术依据</w:t>
            </w:r>
          </w:p>
          <w:tbl>
            <w:tblPr>
              <w:tblBorders>
                <w:top w:val="none" w:color="000000" w:sz="4"/>
                <w:left w:val="none" w:color="000000" w:sz="4"/>
                <w:bottom w:val="none" w:color="000000" w:sz="4"/>
                <w:right w:val="none" w:color="000000" w:sz="4"/>
                <w:insideH w:val="none"/>
                <w:insideV w:val="none"/>
              </w:tblBorders>
            </w:tblPr>
            <w:tblGrid>
              <w:gridCol w:w="186"/>
              <w:gridCol w:w="1510"/>
              <w:gridCol w:w="531"/>
              <w:gridCol w:w="321"/>
            </w:tblGrid>
            <w:tr>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序号</w:t>
                  </w:r>
                </w:p>
              </w:tc>
              <w:tc>
                <w:tcPr>
                  <w:tcW w:type="dxa" w:w="1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标准名称</w:t>
                  </w:r>
                </w:p>
              </w:tc>
              <w:tc>
                <w:tcPr>
                  <w:tcW w:type="dxa" w:w="5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标准代号</w:t>
                  </w:r>
                </w:p>
              </w:tc>
              <w:tc>
                <w:tcPr>
                  <w:tcW w:type="dxa" w:w="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标准等级</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《城市测量规范》</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CJJ</w:t>
                  </w:r>
                  <w:r>
                    <w:rPr>
                      <w:rFonts w:ascii="仿宋_GB2312" w:hAnsi="仿宋_GB2312" w:cs="仿宋_GB2312" w:eastAsia="仿宋_GB2312"/>
                      <w:sz w:val="24"/>
                    </w:rPr>
                    <w:t xml:space="preserve"> </w:t>
                  </w:r>
                  <w:r>
                    <w:rPr>
                      <w:rFonts w:ascii="仿宋_GB2312" w:hAnsi="仿宋_GB2312" w:cs="仿宋_GB2312" w:eastAsia="仿宋_GB2312"/>
                      <w:sz w:val="24"/>
                    </w:rPr>
                    <w:t>8-99</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部级</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2</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《全球定位系统城市测量技术规程》</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CJJ 73-97</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部级</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3</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《全球定位系统</w:t>
                  </w:r>
                  <w:r>
                    <w:rPr>
                      <w:rFonts w:ascii="仿宋_GB2312" w:hAnsi="仿宋_GB2312" w:cs="仿宋_GB2312" w:eastAsia="仿宋_GB2312"/>
                      <w:sz w:val="24"/>
                    </w:rPr>
                    <w:t>GPS》测量规范</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GB/T 18314-2001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国家</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4</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w:t>
                  </w:r>
                  <w:r>
                    <w:rPr>
                      <w:rFonts w:ascii="仿宋_GB2312" w:hAnsi="仿宋_GB2312" w:cs="仿宋_GB2312" w:eastAsia="仿宋_GB2312"/>
                      <w:sz w:val="24"/>
                    </w:rPr>
                    <w:t>1∶500、1∶1000、1∶2000地形图图式》</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GB/T</w:t>
                  </w:r>
                  <w:r>
                    <w:rPr>
                      <w:rFonts w:ascii="仿宋_GB2312" w:hAnsi="仿宋_GB2312" w:cs="仿宋_GB2312" w:eastAsia="仿宋_GB2312"/>
                      <w:sz w:val="24"/>
                    </w:rPr>
                    <w:t xml:space="preserve"> </w:t>
                  </w:r>
                  <w:r>
                    <w:rPr>
                      <w:rFonts w:ascii="仿宋_GB2312" w:hAnsi="仿宋_GB2312" w:cs="仿宋_GB2312" w:eastAsia="仿宋_GB2312"/>
                      <w:sz w:val="24"/>
                    </w:rPr>
                    <w:t>7929-1995</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国家</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5</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w:t>
                  </w:r>
                  <w:r>
                    <w:rPr>
                      <w:rFonts w:ascii="仿宋_GB2312" w:hAnsi="仿宋_GB2312" w:cs="仿宋_GB2312" w:eastAsia="仿宋_GB2312"/>
                      <w:sz w:val="24"/>
                    </w:rPr>
                    <w:t>1∶500、1∶1000、1∶2000地形图要素分类与代码》</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GB</w:t>
                  </w:r>
                  <w:r>
                    <w:rPr>
                      <w:rFonts w:ascii="仿宋_GB2312" w:hAnsi="仿宋_GB2312" w:cs="仿宋_GB2312" w:eastAsia="仿宋_GB2312"/>
                      <w:sz w:val="24"/>
                    </w:rPr>
                    <w:t xml:space="preserve"> </w:t>
                  </w:r>
                  <w:r>
                    <w:rPr>
                      <w:rFonts w:ascii="仿宋_GB2312" w:hAnsi="仿宋_GB2312" w:cs="仿宋_GB2312" w:eastAsia="仿宋_GB2312"/>
                      <w:sz w:val="24"/>
                    </w:rPr>
                    <w:t>14804-93</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国家</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6</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《数字测绘产品检查验收规定和质量评定》</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GB/T 18316-2001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国家</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7</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《工程测量规范》</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GB 50026-93</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国家</w:t>
                  </w:r>
                </w:p>
              </w:tc>
            </w:tr>
          </w:tbl>
          <w:p>
            <w:pPr>
              <w:pStyle w:val="null5"/>
              <w:jc w:val="left"/>
            </w:pPr>
            <w:r>
              <w:rPr>
                <w:rFonts w:ascii="仿宋_GB2312" w:hAnsi="仿宋_GB2312" w:cs="仿宋_GB2312" w:eastAsia="仿宋_GB2312"/>
                <w:sz w:val="24"/>
                <w:b/>
                <w:color w:val="3E3E3E"/>
              </w:rPr>
              <w:t>成果要求</w:t>
            </w:r>
          </w:p>
          <w:p>
            <w:pPr>
              <w:pStyle w:val="null5"/>
              <w:jc w:val="left"/>
            </w:pPr>
            <w:r>
              <w:rPr>
                <w:rFonts w:ascii="仿宋_GB2312" w:hAnsi="仿宋_GB2312" w:cs="仿宋_GB2312" w:eastAsia="仿宋_GB2312"/>
                <w:sz w:val="24"/>
                <w:color w:val="3E3E3E"/>
              </w:rPr>
              <w:t>1、控制成果表 1 份</w:t>
            </w:r>
            <w:r>
              <w:rPr>
                <w:rFonts w:ascii="仿宋_GB2312" w:hAnsi="仿宋_GB2312" w:cs="仿宋_GB2312" w:eastAsia="仿宋_GB2312"/>
                <w:sz w:val="24"/>
                <w:color w:val="3E3E3E"/>
              </w:rPr>
              <w:t>；</w:t>
            </w:r>
          </w:p>
          <w:p>
            <w:pPr>
              <w:pStyle w:val="null5"/>
              <w:jc w:val="left"/>
            </w:pPr>
            <w:r>
              <w:rPr>
                <w:rFonts w:ascii="仿宋_GB2312" w:hAnsi="仿宋_GB2312" w:cs="仿宋_GB2312" w:eastAsia="仿宋_GB2312"/>
                <w:sz w:val="24"/>
                <w:color w:val="3E3E3E"/>
              </w:rPr>
              <w:t>2、控制点构网图和埋石点略图各1份</w:t>
            </w:r>
            <w:r>
              <w:rPr>
                <w:rFonts w:ascii="仿宋_GB2312" w:hAnsi="仿宋_GB2312" w:cs="仿宋_GB2312" w:eastAsia="仿宋_GB2312"/>
                <w:sz w:val="24"/>
                <w:color w:val="3E3E3E"/>
              </w:rPr>
              <w:t>；</w:t>
            </w:r>
          </w:p>
          <w:p>
            <w:pPr>
              <w:pStyle w:val="null5"/>
              <w:jc w:val="left"/>
            </w:pPr>
            <w:r>
              <w:rPr>
                <w:rFonts w:ascii="仿宋_GB2312" w:hAnsi="仿宋_GB2312" w:cs="仿宋_GB2312" w:eastAsia="仿宋_GB2312"/>
                <w:sz w:val="24"/>
                <w:color w:val="3E3E3E"/>
              </w:rPr>
              <w:t>3、E级GPS控制测量成果1份</w:t>
            </w:r>
            <w:r>
              <w:rPr>
                <w:rFonts w:ascii="仿宋_GB2312" w:hAnsi="仿宋_GB2312" w:cs="仿宋_GB2312" w:eastAsia="仿宋_GB2312"/>
                <w:sz w:val="24"/>
                <w:color w:val="3E3E3E"/>
              </w:rPr>
              <w:t>；</w:t>
            </w:r>
          </w:p>
          <w:p>
            <w:pPr>
              <w:pStyle w:val="null5"/>
              <w:jc w:val="left"/>
            </w:pPr>
            <w:r>
              <w:rPr>
                <w:rFonts w:ascii="仿宋_GB2312" w:hAnsi="仿宋_GB2312" w:cs="仿宋_GB2312" w:eastAsia="仿宋_GB2312"/>
                <w:sz w:val="24"/>
                <w:color w:val="3E3E3E"/>
              </w:rPr>
              <w:t>4、技术设计书</w:t>
            </w:r>
            <w:r>
              <w:rPr>
                <w:rFonts w:ascii="仿宋_GB2312" w:hAnsi="仿宋_GB2312" w:cs="仿宋_GB2312" w:eastAsia="仿宋_GB2312"/>
                <w:sz w:val="24"/>
                <w:color w:val="3E3E3E"/>
              </w:rPr>
              <w:t>1</w:t>
            </w:r>
            <w:r>
              <w:rPr>
                <w:rFonts w:ascii="仿宋_GB2312" w:hAnsi="仿宋_GB2312" w:cs="仿宋_GB2312" w:eastAsia="仿宋_GB2312"/>
                <w:sz w:val="24"/>
                <w:color w:val="3E3E3E"/>
              </w:rPr>
              <w:t>份</w:t>
            </w:r>
            <w:r>
              <w:rPr>
                <w:rFonts w:ascii="仿宋_GB2312" w:hAnsi="仿宋_GB2312" w:cs="仿宋_GB2312" w:eastAsia="仿宋_GB2312"/>
                <w:sz w:val="24"/>
                <w:color w:val="3E3E3E"/>
              </w:rPr>
              <w:t>；</w:t>
            </w:r>
          </w:p>
          <w:p>
            <w:pPr>
              <w:pStyle w:val="null5"/>
              <w:jc w:val="left"/>
            </w:pPr>
            <w:r>
              <w:rPr>
                <w:rFonts w:ascii="仿宋_GB2312" w:hAnsi="仿宋_GB2312" w:cs="仿宋_GB2312" w:eastAsia="仿宋_GB2312"/>
                <w:sz w:val="24"/>
                <w:color w:val="3E3E3E"/>
              </w:rPr>
              <w:t>5、技术总结报告</w:t>
            </w:r>
            <w:r>
              <w:rPr>
                <w:rFonts w:ascii="仿宋_GB2312" w:hAnsi="仿宋_GB2312" w:cs="仿宋_GB2312" w:eastAsia="仿宋_GB2312"/>
                <w:sz w:val="24"/>
                <w:color w:val="3E3E3E"/>
              </w:rPr>
              <w:t>1</w:t>
            </w:r>
            <w:r>
              <w:rPr>
                <w:rFonts w:ascii="仿宋_GB2312" w:hAnsi="仿宋_GB2312" w:cs="仿宋_GB2312" w:eastAsia="仿宋_GB2312"/>
                <w:sz w:val="24"/>
                <w:color w:val="3E3E3E"/>
              </w:rPr>
              <w:t>份</w:t>
            </w:r>
            <w:r>
              <w:rPr>
                <w:rFonts w:ascii="仿宋_GB2312" w:hAnsi="仿宋_GB2312" w:cs="仿宋_GB2312" w:eastAsia="仿宋_GB2312"/>
                <w:sz w:val="24"/>
                <w:color w:val="3E3E3E"/>
              </w:rPr>
              <w:t>；</w:t>
            </w:r>
          </w:p>
          <w:p>
            <w:pPr>
              <w:pStyle w:val="null5"/>
              <w:jc w:val="left"/>
            </w:pPr>
            <w:r>
              <w:rPr>
                <w:rFonts w:ascii="仿宋_GB2312" w:hAnsi="仿宋_GB2312" w:cs="仿宋_GB2312" w:eastAsia="仿宋_GB2312"/>
                <w:sz w:val="24"/>
                <w:color w:val="3E3E3E"/>
              </w:rPr>
              <w:t>6、</w:t>
            </w:r>
            <w:r>
              <w:rPr>
                <w:rFonts w:ascii="仿宋_GB2312" w:hAnsi="仿宋_GB2312" w:cs="仿宋_GB2312" w:eastAsia="仿宋_GB2312"/>
                <w:sz w:val="24"/>
                <w:color w:val="3E3E3E"/>
              </w:rPr>
              <w:t>大清沟景区内所有地貌</w:t>
            </w:r>
            <w:r>
              <w:rPr>
                <w:rFonts w:ascii="仿宋_GB2312" w:hAnsi="仿宋_GB2312" w:cs="仿宋_GB2312" w:eastAsia="仿宋_GB2312"/>
                <w:sz w:val="24"/>
                <w:color w:val="3E3E3E"/>
              </w:rPr>
              <w:t>1:500地形现状规划</w:t>
            </w:r>
            <w:r>
              <w:rPr>
                <w:rFonts w:ascii="仿宋_GB2312" w:hAnsi="仿宋_GB2312" w:cs="仿宋_GB2312" w:eastAsia="仿宋_GB2312"/>
                <w:sz w:val="24"/>
                <w:color w:val="3E3E3E"/>
              </w:rPr>
              <w:t>测量图</w:t>
            </w:r>
            <w:r>
              <w:rPr>
                <w:rFonts w:ascii="仿宋_GB2312" w:hAnsi="仿宋_GB2312" w:cs="仿宋_GB2312" w:eastAsia="仿宋_GB2312"/>
                <w:sz w:val="24"/>
                <w:color w:val="3E3E3E"/>
              </w:rPr>
              <w:t>1份；</w:t>
            </w:r>
          </w:p>
          <w:p>
            <w:pPr>
              <w:pStyle w:val="null5"/>
              <w:jc w:val="left"/>
            </w:pPr>
            <w:r>
              <w:rPr>
                <w:rFonts w:ascii="仿宋_GB2312" w:hAnsi="仿宋_GB2312" w:cs="仿宋_GB2312" w:eastAsia="仿宋_GB2312"/>
                <w:sz w:val="24"/>
                <w:color w:val="3E3E3E"/>
              </w:rPr>
              <w:t>7</w:t>
            </w:r>
            <w:r>
              <w:rPr>
                <w:rFonts w:ascii="仿宋_GB2312" w:hAnsi="仿宋_GB2312" w:cs="仿宋_GB2312" w:eastAsia="仿宋_GB2312"/>
                <w:sz w:val="24"/>
                <w:color w:val="3E3E3E"/>
              </w:rPr>
              <w:t>、</w:t>
            </w:r>
            <w:r>
              <w:rPr>
                <w:rFonts w:ascii="仿宋_GB2312" w:hAnsi="仿宋_GB2312" w:cs="仿宋_GB2312" w:eastAsia="仿宋_GB2312"/>
                <w:sz w:val="24"/>
                <w:color w:val="3E3E3E"/>
              </w:rPr>
              <w:t>建立数据库；</w:t>
            </w:r>
          </w:p>
          <w:p>
            <w:pPr>
              <w:pStyle w:val="null5"/>
              <w:jc w:val="left"/>
            </w:pPr>
            <w:r>
              <w:rPr>
                <w:rFonts w:ascii="仿宋_GB2312" w:hAnsi="仿宋_GB2312" w:cs="仿宋_GB2312" w:eastAsia="仿宋_GB2312"/>
                <w:sz w:val="24"/>
                <w:color w:val="3E3E3E"/>
              </w:rPr>
              <w:t>8、</w:t>
            </w:r>
            <w:r>
              <w:rPr>
                <w:rFonts w:ascii="仿宋_GB2312" w:hAnsi="仿宋_GB2312" w:cs="仿宋_GB2312" w:eastAsia="仿宋_GB2312"/>
                <w:sz w:val="24"/>
                <w:color w:val="3E3E3E"/>
              </w:rPr>
              <w:t>编辑完成的文件</w:t>
            </w:r>
            <w:r>
              <w:rPr>
                <w:rFonts w:ascii="仿宋_GB2312" w:hAnsi="仿宋_GB2312" w:cs="仿宋_GB2312" w:eastAsia="仿宋_GB2312"/>
                <w:sz w:val="24"/>
                <w:color w:val="3E3E3E"/>
              </w:rPr>
              <w:t>、</w:t>
            </w:r>
            <w:r>
              <w:rPr>
                <w:rFonts w:ascii="仿宋_GB2312" w:hAnsi="仿宋_GB2312" w:cs="仿宋_GB2312" w:eastAsia="仿宋_GB2312"/>
                <w:sz w:val="24"/>
                <w:color w:val="3E3E3E"/>
              </w:rPr>
              <w:t>图形数据</w:t>
            </w:r>
            <w:r>
              <w:rPr>
                <w:rFonts w:ascii="仿宋_GB2312" w:hAnsi="仿宋_GB2312" w:cs="仿宋_GB2312" w:eastAsia="仿宋_GB2312"/>
                <w:sz w:val="24"/>
                <w:color w:val="3E3E3E"/>
              </w:rPr>
              <w:t>库</w:t>
            </w:r>
            <w:r>
              <w:rPr>
                <w:rFonts w:ascii="仿宋_GB2312" w:hAnsi="仿宋_GB2312" w:cs="仿宋_GB2312" w:eastAsia="仿宋_GB2312"/>
                <w:sz w:val="24"/>
                <w:color w:val="3E3E3E"/>
              </w:rPr>
              <w:t>光盘两份（分幅图</w:t>
            </w:r>
            <w:r>
              <w:rPr>
                <w:rFonts w:ascii="仿宋_GB2312" w:hAnsi="仿宋_GB2312" w:cs="仿宋_GB2312" w:eastAsia="仿宋_GB2312"/>
                <w:sz w:val="24"/>
                <w:color w:val="3E3E3E"/>
              </w:rPr>
              <w:t>1</w:t>
            </w:r>
            <w:r>
              <w:rPr>
                <w:rFonts w:ascii="仿宋_GB2312" w:hAnsi="仿宋_GB2312" w:cs="仿宋_GB2312" w:eastAsia="仿宋_GB2312"/>
                <w:sz w:val="24"/>
                <w:color w:val="3E3E3E"/>
              </w:rPr>
              <w:t>份）。</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技术部分62.00分</w:t>
            </w:r>
          </w:p>
          <w:p>
            <w:pPr>
              <w:pStyle w:val="null5"/>
              <w:jc w:val="left"/>
            </w:pPr>
            <w:r>
              <w:rPr>
                <w:rFonts w:ascii="仿宋_GB2312" w:hAnsi="仿宋_GB2312" w:cs="仿宋_GB2312" w:eastAsia="仿宋_GB2312"/>
              </w:rPr>
              <w:t>商务部分28.00分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针对本项目提供详细的实施方案。 包括： ①对项目可利用的已有资料、任务区的基本情况的掌握； ②对项目内容、服务需求及相关政策法规要求的理解； ③技术路线； ④工作流程； ⑤成果提交； ⑥技术关键点、难点分析； 方案内容完全满足以上要求并且详细、切实可行的得18分（每小项分值为3分，缺项扣3分），每小项如出现凭空编造、内容前后不一致、逻辑混乱、不符合采购需求、内容缺失、内容不合理的情况，每出现一种情况扣1分，每小项最多扣3分。</w:t>
            </w:r>
          </w:p>
        </w:tc>
        <w:tc>
          <w:tcPr>
            <w:tcW w:type="dxa" w:w="1038"/>
          </w:tcPr>
          <w:p>
            <w:pPr>
              <w:pStyle w:val="null5"/>
              <w:jc w:val="right"/>
            </w:pPr>
            <w:r>
              <w:rPr>
                <w:rFonts w:ascii="仿宋_GB2312" w:hAnsi="仿宋_GB2312" w:cs="仿宋_GB2312" w:eastAsia="仿宋_GB2312"/>
              </w:rPr>
              <w:t>18.00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重点难点分析</w:t>
            </w:r>
          </w:p>
        </w:tc>
        <w:tc>
          <w:tcPr>
            <w:tcW w:type="dxa" w:w="3115"/>
          </w:tcPr>
          <w:p>
            <w:pPr>
              <w:pStyle w:val="null5"/>
              <w:jc w:val="left"/>
            </w:pPr>
            <w:r>
              <w:rPr>
                <w:rFonts w:ascii="仿宋_GB2312" w:hAnsi="仿宋_GB2312" w:cs="仿宋_GB2312" w:eastAsia="仿宋_GB2312"/>
              </w:rPr>
              <w:t>1.实施方案中对项目重点、难点分析全面、合理，提出合理化建议方案， 包括：①数据采集难点； ②数据处理难点； ③数据应用难点； ④处理措施； ⑤预防预案；内容完全满足以上要求并且详细、切实可行的得10分（每小项分值为2分，缺项扣2分），每小项如出现凭空编造、内容前后不一致、逻辑混乱、不符合采购需求、内容缺失、内容不合理的情况，每出现一种情况扣1分，每小项最多扣2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采购文件要求及投标文件的相关内容，包括①对质量管理组织机构是否健全；②质量保证措施是否得当；③质量管理关键点分析及应对是否合理；④能够体现过程控制和成果控制，最终成果满足国家及地方要求等内容。措施完整、科学、切实可行的得10分（每小项分值为2.5分，缺项扣2.5分），每小项如出现凭空编造、内容前后不一致、逻辑混乱、不符合采购需求、内容缺失、内容不合理的情况，每出现一种情况扣1分，每小项最多扣2.5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人员配置及管理</w:t>
            </w:r>
          </w:p>
        </w:tc>
        <w:tc>
          <w:tcPr>
            <w:tcW w:type="dxa" w:w="3115"/>
          </w:tcPr>
          <w:p>
            <w:pPr>
              <w:pStyle w:val="null5"/>
              <w:jc w:val="left"/>
            </w:pPr>
            <w:r>
              <w:rPr>
                <w:rFonts w:ascii="仿宋_GB2312" w:hAnsi="仿宋_GB2312" w:cs="仿宋_GB2312" w:eastAsia="仿宋_GB2312"/>
              </w:rPr>
              <w:t>投标文件中需提供人员配备计划，包含①人员配备计划满足需求，配备人员合理，针对本服务要求配置人员分工明确 ；②针对本服务要求人员配置及管理③人员管理制度、考核制度完善。内容完全满足以上要求并且详细、切实可行的得6分（每小项分值为2分，缺项扣2分），每小项如出现凭空编造、内容前后不一致、逻辑混乱、不符合采购需求、内容缺失、内容不合理的情况，每出现一种情况扣1分，每小项最多扣2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工作进度计划</w:t>
            </w:r>
          </w:p>
        </w:tc>
        <w:tc>
          <w:tcPr>
            <w:tcW w:type="dxa" w:w="3115"/>
          </w:tcPr>
          <w:p>
            <w:pPr>
              <w:pStyle w:val="null5"/>
              <w:jc w:val="left"/>
            </w:pPr>
            <w:r>
              <w:rPr>
                <w:rFonts w:ascii="仿宋_GB2312" w:hAnsi="仿宋_GB2312" w:cs="仿宋_GB2312" w:eastAsia="仿宋_GB2312"/>
              </w:rPr>
              <w:t>根据投标人针对本项目制定的工作进度方案及便利条件，详细包括①进度计划安排；②保障进度措施；③对项目工序的划分；④保障重大工作内容完成时间节点的措施进行打分，内容完全满足以上要求并且详细、切实可行的得6分（每小项分值为1.5分，缺项扣1.5分），每小项如出现凭空编造、内容前后不一致、逻辑混乱、不符合采购需求、内容缺失、内容不合理的情况，每出现一种情况扣0.5分，每小项最多扣1.5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根据投标人针对本项目提供的应急处理方案进行评审，包括①健全项目应急处理机制②明确应急响应时间③明确人员职责完善项目进行中各类突发情况预案，内容完全满足以上要求并且科学合理完善的得6分（每小项分值为2分，缺项扣2分），每小项如出现凭空编造、内容前后不一致、逻辑混乱、不符合采购需求、内容缺失、内容不合理的情况，每出现一种情况扣1分，每小项最多扣2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保密制度</w:t>
            </w:r>
          </w:p>
        </w:tc>
        <w:tc>
          <w:tcPr>
            <w:tcW w:type="dxa" w:w="3115"/>
          </w:tcPr>
          <w:p>
            <w:pPr>
              <w:pStyle w:val="null5"/>
              <w:jc w:val="left"/>
            </w:pPr>
            <w:r>
              <w:rPr>
                <w:rFonts w:ascii="仿宋_GB2312" w:hAnsi="仿宋_GB2312" w:cs="仿宋_GB2312" w:eastAsia="仿宋_GB2312"/>
              </w:rPr>
              <w:t>投标人需要提供完善的保密管理方案，制定完善的保密措施，包括①保密原则及保密内容② 保密实施细则③ 保密岗位责任及保密培训，整体措施科学合理、切实可行的得6分（每小项分值为2分，缺项扣2分），每小项如出现凭空编造、内容前后不一致、逻辑混乱、不符合采购需求、内容缺失、内容不合理的情况，每出现一种情况扣1分，每小项最多扣2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项目负责人任职资格</w:t>
            </w:r>
          </w:p>
        </w:tc>
        <w:tc>
          <w:tcPr>
            <w:tcW w:type="dxa" w:w="3115"/>
          </w:tcPr>
          <w:p>
            <w:pPr>
              <w:pStyle w:val="null5"/>
              <w:jc w:val="left"/>
            </w:pPr>
            <w:r>
              <w:rPr>
                <w:rFonts w:ascii="仿宋_GB2312" w:hAnsi="仿宋_GB2312" w:cs="仿宋_GB2312" w:eastAsia="仿宋_GB2312"/>
              </w:rPr>
              <w:t>具有测绘中级职称资格得1分，具有测绘副高级（含）以上职称得3分，本项最高得3分，其他不得分。 注：响应性文件须附职称证扫描件，提供近一年连续三个月缴纳社保证明材料。</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项目组其他人员</w:t>
            </w:r>
          </w:p>
        </w:tc>
        <w:tc>
          <w:tcPr>
            <w:tcW w:type="dxa" w:w="3115"/>
          </w:tcPr>
          <w:p>
            <w:pPr>
              <w:pStyle w:val="null5"/>
              <w:jc w:val="left"/>
            </w:pPr>
            <w:r>
              <w:rPr>
                <w:rFonts w:ascii="仿宋_GB2312" w:hAnsi="仿宋_GB2312" w:cs="仿宋_GB2312" w:eastAsia="仿宋_GB2312"/>
              </w:rPr>
              <w:t>除项目负责人以外，每有一名工作人员具备测绘中级的技术人员得1分，每有一名工作人员具备测绘副高级职称的技术人员得2分，最多得15分。 注：响应性文件须附职称证扫描件，提供近一年连续三个月缴纳社保证明材料。</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供应商业绩</w:t>
            </w:r>
          </w:p>
        </w:tc>
        <w:tc>
          <w:tcPr>
            <w:tcW w:type="dxa" w:w="3115"/>
          </w:tcPr>
          <w:p>
            <w:pPr>
              <w:pStyle w:val="null5"/>
              <w:jc w:val="left"/>
            </w:pPr>
            <w:r>
              <w:rPr>
                <w:rFonts w:ascii="仿宋_GB2312" w:hAnsi="仿宋_GB2312" w:cs="仿宋_GB2312" w:eastAsia="仿宋_GB2312"/>
              </w:rPr>
              <w:t>每提供一项类似业绩加2分，最高10分;业绩要求:2022.1.1-至今，以合同签订时间为准，响应性文件中需附合同或中标通知书的扫描件。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