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科左后旗18个苏木镇场基准地价更新项目(二次)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科尔沁左翼后旗自然资源局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至诚工程咨询有限公司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KZHQZCS-C-F-250006-1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至诚工程咨询有限公司</w:t>
      </w:r>
      <w:r>
        <w:rPr>
          <w:rFonts w:ascii="仿宋_GB2312" w:hAnsi="仿宋_GB2312" w:cs="仿宋_GB2312" w:eastAsia="仿宋_GB2312"/>
        </w:rPr>
        <w:t xml:space="preserve"> 受 </w:t>
      </w:r>
      <w:r>
        <w:rPr>
          <w:rFonts w:ascii="仿宋_GB2312" w:hAnsi="仿宋_GB2312" w:cs="仿宋_GB2312" w:eastAsia="仿宋_GB2312"/>
        </w:rPr>
        <w:t>科尔沁左翼后旗自然资源局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科左后旗18个苏木镇场基准地价更新项目(二次)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科左后旗18个苏木镇场基准地价更新项目(二次)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KZHQZCS-C-F-250006-1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150522[2025]00277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科左后旗18个苏木镇场基准地价更新项目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质要求：具有省级自然资源部门备案的函，内蒙古自治区以外的须在内蒙古自治区自然资源厅备案，同时具有内蒙古财政部门备案的函，内蒙古自治区以外的须在内蒙古自治区财政厅备案；项目负责人应同时具有土地估价师资格证书并具有相关专业高级及以上职称；</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至诚工程咨询有限公司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山东省济宁市邹城市邹城市太平东路2777号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273500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丁先生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15849544694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科尔沁左翼后旗自然资源局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科尔沁左翼后旗自然资源局</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齐先生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15947358666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代理服务费收费标准：参考内工建协[2022]34号文件收费标准收取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科尔沁左翼后旗自然资源局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至诚工程咨询有限公司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（1）确定土地定级对象 城镇土地定级对象以科左后旗18个乡镇苏木城镇总体规划中心城区范围和城镇开发边界作参考，结合科左后旗18个乡镇苏木行政区界范围、城区现状及上轮基准地价范围，确定基准地价更新范围。 （2）重点内容 (1) 完成商服、住宅、工业用地土地定级工作； (2) 完成商服、住宅、工业用地基准地价更新工作； (3) 完成基准地价修正体系编制； (4) 完成土地定级与基准地价数据库更新。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2025年3月31号前完成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科尔沁左翼后旗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1、项目验收合格之后，达到付款条件起5日，支付合同总金额的100.00%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标的名称：科左后旗18个苏木镇场基准地价更新项目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1"/>
              </w:rPr>
              <w:t>（</w:t>
            </w:r>
            <w:r>
              <w:rPr>
                <w:rFonts w:ascii="仿宋_GB2312" w:hAnsi="仿宋_GB2312" w:cs="仿宋_GB2312" w:eastAsia="仿宋_GB2312"/>
                <w:sz w:val="21"/>
              </w:rPr>
              <w:t>1）确定土地定级对象 城镇土地定级对象以科左后旗18个乡镇苏木城镇总体规划中心城区范围和城镇开发边界作参考，结合科左后旗18个乡镇苏木行政区界范围、城区现状及上轮基准地价范围，确定基准地价更新范围。</w:t>
            </w:r>
          </w:p>
          <w:p>
            <w:pPr>
              <w:pStyle w:val="null5"/>
              <w:jc w:val="both"/>
            </w:pPr>
            <w:r>
              <w:rPr>
                <w:rFonts w:ascii="仿宋_GB2312" w:hAnsi="仿宋_GB2312" w:cs="仿宋_GB2312" w:eastAsia="仿宋_GB2312"/>
                <w:sz w:val="21"/>
              </w:rPr>
              <w:t>（</w:t>
            </w:r>
            <w:r>
              <w:rPr>
                <w:rFonts w:ascii="仿宋_GB2312" w:hAnsi="仿宋_GB2312" w:cs="仿宋_GB2312" w:eastAsia="仿宋_GB2312"/>
                <w:sz w:val="21"/>
              </w:rPr>
              <w:t>2）重点内容</w:t>
            </w:r>
          </w:p>
          <w:p>
            <w:pPr>
              <w:pStyle w:val="null5"/>
              <w:jc w:val="both"/>
            </w:pPr>
            <w:r>
              <w:rPr>
                <w:rFonts w:ascii="仿宋_GB2312" w:hAnsi="仿宋_GB2312" w:cs="仿宋_GB2312" w:eastAsia="仿宋_GB2312"/>
                <w:sz w:val="21"/>
              </w:rPr>
              <w:t>1、 完成商服、住宅、工业用地土地定级工作；</w:t>
            </w:r>
          </w:p>
          <w:p>
            <w:pPr>
              <w:pStyle w:val="null5"/>
              <w:jc w:val="both"/>
            </w:pPr>
            <w:r>
              <w:rPr>
                <w:rFonts w:ascii="仿宋_GB2312" w:hAnsi="仿宋_GB2312" w:cs="仿宋_GB2312" w:eastAsia="仿宋_GB2312"/>
                <w:sz w:val="21"/>
              </w:rPr>
              <w:t>2、 完成商服、住宅、工业用地基准地价更新工作；</w:t>
            </w:r>
          </w:p>
          <w:p>
            <w:pPr>
              <w:pStyle w:val="null5"/>
              <w:jc w:val="both"/>
            </w:pPr>
            <w:r>
              <w:rPr>
                <w:rFonts w:ascii="仿宋_GB2312" w:hAnsi="仿宋_GB2312" w:cs="仿宋_GB2312" w:eastAsia="仿宋_GB2312"/>
                <w:sz w:val="21"/>
              </w:rPr>
              <w:t>3、 完成基准地价修正体系编制；</w:t>
            </w:r>
          </w:p>
          <w:p>
            <w:pPr>
              <w:pStyle w:val="null5"/>
              <w:jc w:val="both"/>
            </w:pPr>
            <w:r>
              <w:rPr>
                <w:rFonts w:ascii="仿宋_GB2312" w:hAnsi="仿宋_GB2312" w:cs="仿宋_GB2312" w:eastAsia="仿宋_GB2312"/>
                <w:sz w:val="21"/>
              </w:rPr>
              <w:t>4、 完成土地定级与基准地价数据库更新。</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规定提供《通辽市政府采购供应商信用承诺函》，无需再提交证明材料。采购人有权在签订合同前要求中标供应商提供相关证明材料以核实中标供应商承诺事项的真实性，通辽市政府采购供应商信用承诺函详见公告附件。</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供应商资质要求</w:t>
            </w:r>
          </w:p>
        </w:tc>
        <w:tc>
          <w:tcPr>
            <w:tcW w:type="dxa" w:w="4984"/>
          </w:tcPr>
          <w:p>
            <w:pPr>
              <w:pStyle w:val="null5"/>
              <w:jc w:val="left"/>
            </w:pPr>
            <w:r>
              <w:rPr>
                <w:rFonts w:ascii="仿宋_GB2312" w:hAnsi="仿宋_GB2312" w:cs="仿宋_GB2312" w:eastAsia="仿宋_GB2312"/>
              </w:rPr>
              <w:t>具有省级自然资源部门备案的函，内蒙古自治区以外的须在内蒙古自治区自然资源厅备案，同时具有内蒙古财政部门备案的函，内蒙古自治区以外的须在内蒙古自治区财政厅备案；项目负责人应同时具有土地估价师资格证书并具有相关专业高级及以上职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项目服务方案</w:t>
            </w:r>
          </w:p>
        </w:tc>
        <w:tc>
          <w:tcPr>
            <w:tcW w:type="dxa" w:w="3115"/>
          </w:tcPr>
          <w:p>
            <w:pPr>
              <w:pStyle w:val="null5"/>
              <w:jc w:val="left"/>
            </w:pPr>
            <w:r>
              <w:rPr>
                <w:rFonts w:ascii="仿宋_GB2312" w:hAnsi="仿宋_GB2312" w:cs="仿宋_GB2312" w:eastAsia="仿宋_GB2312"/>
              </w:rPr>
              <w:t>应包括服务目标、服务标准、服务内容。 1、方案详细、规范、具有可操作性，技术路线选择合理、完整、清晰并符合当地土地市场得6（不含）-10 分； 2、方案措施较完整，规范，与实际情况无原则性偏差得3（不含）-6（含）分； 3、 服务方案内容欠佳，仅能满足项目的基本要求得1-3（含）分； 没有或不提供不得分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技术规范</w:t>
            </w:r>
          </w:p>
        </w:tc>
        <w:tc>
          <w:tcPr>
            <w:tcW w:type="dxa" w:w="3115"/>
          </w:tcPr>
          <w:p>
            <w:pPr>
              <w:pStyle w:val="null5"/>
              <w:jc w:val="left"/>
            </w:pPr>
            <w:r>
              <w:rPr>
                <w:rFonts w:ascii="仿宋_GB2312" w:hAnsi="仿宋_GB2312" w:cs="仿宋_GB2312" w:eastAsia="仿宋_GB2312"/>
              </w:rPr>
              <w:t>应包含估价依据、估价原则、估价方法等要求。 1、规范应用详细全面、有最新的政策把握或跟踪措施，具有可操作性，符合实际情况的得6（不含）-10分； 2、规范较完整与实际情况无原则性偏差得3（不含）-6（含）分 ； 3、规范内容欠佳，仅能满足项目的基本要求得1-3（含）；没有或不提供不得分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w:t>
            </w:r>
          </w:p>
        </w:tc>
        <w:tc>
          <w:tcPr>
            <w:tcW w:type="dxa" w:w="3115"/>
          </w:tcPr>
          <w:p>
            <w:pPr>
              <w:pStyle w:val="null5"/>
              <w:jc w:val="left"/>
            </w:pPr>
            <w:r>
              <w:rPr>
                <w:rFonts w:ascii="仿宋_GB2312" w:hAnsi="仿宋_GB2312" w:cs="仿宋_GB2312" w:eastAsia="仿宋_GB2312"/>
              </w:rPr>
              <w:t>根据供应商对本项目重点难点分析及应对措施的准确性、合理性、针对性和符合实际性。 1、对项目的重点、难点问题考虑全面，分析透彻，能提出合理化解决方案，科学、合理，内容齐全的得6（不含）-10分； 2、措施内容基本完善，符合项目要求得3（不含）-6（含）分； 3、措施内容欠佳， 仅能满足项目的基本要求得1-3（含）； 没有或不提供不得分。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服务进度</w:t>
            </w:r>
          </w:p>
        </w:tc>
        <w:tc>
          <w:tcPr>
            <w:tcW w:type="dxa" w:w="3115"/>
          </w:tcPr>
          <w:p>
            <w:pPr>
              <w:pStyle w:val="null5"/>
              <w:jc w:val="left"/>
            </w:pPr>
            <w:r>
              <w:rPr>
                <w:rFonts w:ascii="仿宋_GB2312" w:hAnsi="仿宋_GB2312" w:cs="仿宋_GB2312" w:eastAsia="仿宋_GB2312"/>
              </w:rPr>
              <w:t>供应商针对本项目提供服务进度计划安排方案的合理性、针对性和符合实际性等方面。 1、方案明确合理、完善、清晰、方案可行得6（不含）-10分； 2、方案内容简略,符合项目要求得3（不含）-6（含）分； 3、方案内容欠佳，仅能满足项目的基本要求得1-3（含）； 没有或不提供不得分。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应急方案及流程</w:t>
            </w:r>
          </w:p>
        </w:tc>
        <w:tc>
          <w:tcPr>
            <w:tcW w:type="dxa" w:w="3115"/>
          </w:tcPr>
          <w:p>
            <w:pPr>
              <w:pStyle w:val="null5"/>
              <w:jc w:val="left"/>
            </w:pPr>
            <w:r>
              <w:rPr>
                <w:rFonts w:ascii="仿宋_GB2312" w:hAnsi="仿宋_GB2312" w:cs="仿宋_GB2312" w:eastAsia="仿宋_GB2312"/>
              </w:rPr>
              <w:t>供应商针对本项目有处理应急事件的预案，及时响应支援等。 提供具体应急方案及流程： 1、应急方案及流程详细、完善、科学、突出得6（不含）-10分； 2、应急方案及流程简略、合理、符合项目要求得3（不含）-6（含）分； 3、应急方案内容欠佳，仅能满足项目的基本要求得1-3（含）； 没有或不提供不得分。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服务承诺及售后保障措施</w:t>
            </w:r>
          </w:p>
        </w:tc>
        <w:tc>
          <w:tcPr>
            <w:tcW w:type="dxa" w:w="3115"/>
          </w:tcPr>
          <w:p>
            <w:pPr>
              <w:pStyle w:val="null5"/>
              <w:jc w:val="left"/>
            </w:pPr>
            <w:r>
              <w:rPr>
                <w:rFonts w:ascii="仿宋_GB2312" w:hAnsi="仿宋_GB2312" w:cs="仿宋_GB2312" w:eastAsia="仿宋_GB2312"/>
              </w:rPr>
              <w:t>对本项目服务承诺和售后保障措施： 1、措施科学可行内容全面完善，完全满足本项目工作要求得6（不含）-10分； 2、措施承诺内容较完善，可行,符合项目要求得3（不含）-6（含）分； 3、措施承诺内容欠佳，仅能满足项目的基本要求得1-3（含）； 没有或不提供不得分。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项目管理人员</w:t>
            </w:r>
          </w:p>
        </w:tc>
        <w:tc>
          <w:tcPr>
            <w:tcW w:type="dxa" w:w="3115"/>
          </w:tcPr>
          <w:p>
            <w:pPr>
              <w:pStyle w:val="null5"/>
              <w:jc w:val="left"/>
            </w:pPr>
            <w:r>
              <w:rPr>
                <w:rFonts w:ascii="仿宋_GB2312" w:hAnsi="仿宋_GB2312" w:cs="仿宋_GB2312" w:eastAsia="仿宋_GB2312"/>
              </w:rPr>
              <w:t>1.拟派项目负责人具有土地估价师证书得2分，同时具有相关专业高级及以上职称得2分，最高得4分。 2.拟派项目人员（项目负责人除外）每配备1名土地估价师得1分，最高得4分； 3.拟派项目人员每配备1名具有高级及以上职称得1分；中级职称得0.5分，1～3项最高得分10分。 注：上述1～3项人员须提供相应证书或证明材料扫描件（响应文件须附相关证明材料扫描件）。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供应商每提供1个（2020年至今）相关类似业绩得2.5分，最多得20 分。（须提供合同复印件，以合同签订日期为准）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