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开鲁县2024年水利发展资金（农业水价综合改革节水奖励农田水利设施维修养护）项目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开鲁县水务局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通辽市公共资源交易中心开鲁县分中心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KLXZC-C-G-250003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通辽市公共资源交易中心开鲁县分中心</w:t>
      </w:r>
      <w:r>
        <w:rPr>
          <w:rFonts w:ascii="仿宋_GB2312" w:hAnsi="仿宋_GB2312" w:cs="仿宋_GB2312" w:eastAsia="仿宋_GB2312"/>
        </w:rPr>
        <w:t xml:space="preserve"> 受 </w:t>
      </w:r>
      <w:r>
        <w:rPr>
          <w:rFonts w:ascii="仿宋_GB2312" w:hAnsi="仿宋_GB2312" w:cs="仿宋_GB2312" w:eastAsia="仿宋_GB2312"/>
        </w:rPr>
        <w:t>开鲁县水务局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开鲁县2024年水利发展资金（农业水价综合改革节水奖励农田水利设施维修养护）项目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开鲁县2024年水利发展资金（农业水价综合改革节水奖励农田水利设施维修养护）项目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KLXZC-C-G-250003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150523[2025]00253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922,134.00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其他水利工程施工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922,134.00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1、特定资格要求：1、投标供应商须具有建设行政主管部门核发的水利水电工程施工总承包三级或以上资质； 2、拟派项目经理具有水利水电工程专业二级或以上注册建造师证书（拟派注册建造师证书的注册单位名称必须与投标单位名称一致）及有效的安全生产考核证书（B证）；技术负责人具备中级或以上（相关专业）职称。</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人无需到达开标现场，开标当日在投标截止时间前登录“内蒙古自治区政府采购网--政府采购云平台”参加远程开标）。请供应商使用投标客户端严格按照采购文件的相关要求制作和上传电子响应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通辽市公共资源交易中心开鲁县分中心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内蒙古自治区通辽市开鲁县内蒙古通辽市开鲁县开鲁镇南湖新区政务服务中心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孙世利 石晶</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0475-2362696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开鲁县水务局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开鲁县人大政协综合办公大楼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13654758993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1、请各竞标单位按本项目采购公告相关附件“项目相关要求”中的要求编制响应文件。 2、“政采贷”政策说明：凡已在内蒙古自治区政府采购云平台供应商库中登记，并依法取得内 蒙古自治区内政府采购合同的区内中小企业（含个体工商 户）供应商，均可申请政府采购合同融资 。具体政策详见：https://www.ccg p-neimenggu.gov.cn/2021/05/104642.html。</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开鲁县水务局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通辽市公共资源交易中心开鲁县分中心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农田水利设施维修养护，具体采购内容更新水源井、购买安装潜水泵。</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合同签订后40日内完工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采购单位约定地点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1、按工程进度和资金到位情况支付合同款。，达到付款条件起30日，支付合同总金额的100.00%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标的名称：其他水利工程施工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8"/>
                <w:b/>
              </w:rPr>
              <w:t>工程量清单</w:t>
            </w:r>
          </w:p>
          <w:tbl>
            <w:tblPr>
              <w:tblBorders>
                <w:top w:val="none" w:color="000000" w:sz="4"/>
                <w:left w:val="none" w:color="000000" w:sz="4"/>
                <w:bottom w:val="none" w:color="000000" w:sz="4"/>
                <w:right w:val="none" w:color="000000" w:sz="4"/>
                <w:insideH w:val="none"/>
                <w:insideV w:val="none"/>
              </w:tblBorders>
            </w:tblPr>
            <w:tblGrid>
              <w:gridCol w:w="258"/>
              <w:gridCol w:w="400"/>
              <w:gridCol w:w="997"/>
              <w:gridCol w:w="204"/>
              <w:gridCol w:w="191"/>
              <w:gridCol w:w="229"/>
              <w:gridCol w:w="254"/>
            </w:tblGrid>
            <w:tr>
              <w:tc>
                <w:tcPr>
                  <w:tcW w:type="dxa" w:w="25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乡镇</w:t>
                  </w:r>
                </w:p>
              </w:tc>
              <w:tc>
                <w:tcPr>
                  <w:tcW w:type="dxa" w:w="4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村</w:t>
                  </w:r>
                </w:p>
              </w:tc>
              <w:tc>
                <w:tcPr>
                  <w:tcW w:type="dxa" w:w="9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名称及规格</w:t>
                  </w:r>
                </w:p>
              </w:tc>
              <w:tc>
                <w:tcPr>
                  <w:tcW w:type="dxa" w:w="20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单位</w:t>
                  </w:r>
                </w:p>
              </w:tc>
              <w:tc>
                <w:tcPr>
                  <w:tcW w:type="dxa" w:w="1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单价</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合价</w:t>
                  </w:r>
                </w:p>
              </w:tc>
            </w:tr>
            <w:tr>
              <w:tc>
                <w:tcPr>
                  <w:tcW w:type="dxa" w:w="258"/>
                  <w:vMerge/>
                  <w:tcBorders>
                    <w:top w:val="single" w:color="000000" w:sz="4"/>
                    <w:left w:val="single" w:color="000000" w:sz="4"/>
                    <w:bottom w:val="single" w:color="000000" w:sz="4"/>
                    <w:right w:val="single" w:color="000000" w:sz="4"/>
                  </w:tcBorders>
                </w:tcPr>
                <w:p/>
              </w:tc>
              <w:tc>
                <w:tcPr>
                  <w:tcW w:type="dxa" w:w="400"/>
                  <w:vMerge/>
                  <w:tcBorders>
                    <w:top w:val="single" w:color="000000" w:sz="4"/>
                    <w:left w:val="none" w:color="000000" w:sz="4"/>
                    <w:bottom w:val="single" w:color="000000" w:sz="4"/>
                    <w:right w:val="single" w:color="000000" w:sz="4"/>
                  </w:tcBorders>
                </w:tcPr>
                <w:p/>
              </w:tc>
              <w:tc>
                <w:tcPr>
                  <w:tcW w:type="dxa" w:w="997"/>
                  <w:vMerge/>
                  <w:tcBorders>
                    <w:top w:val="single" w:color="000000" w:sz="4"/>
                    <w:left w:val="none" w:color="000000" w:sz="4"/>
                    <w:bottom w:val="single" w:color="000000" w:sz="4"/>
                    <w:right w:val="single" w:color="000000" w:sz="4"/>
                  </w:tcBorders>
                </w:tcPr>
                <w:p/>
              </w:tc>
              <w:tc>
                <w:tcPr>
                  <w:tcW w:type="dxa" w:w="204"/>
                  <w:vMerge/>
                  <w:tcBorders>
                    <w:top w:val="single" w:color="000000" w:sz="4"/>
                    <w:left w:val="none" w:color="000000" w:sz="4"/>
                    <w:bottom w:val="single" w:color="000000" w:sz="4"/>
                    <w:right w:val="single" w:color="000000" w:sz="4"/>
                  </w:tcBorders>
                </w:tcPr>
                <w:p/>
              </w:tc>
              <w:tc>
                <w:tcPr>
                  <w:tcW w:type="dxa" w:w="191"/>
                  <w:vMerge/>
                  <w:tcBorders>
                    <w:top w:val="single" w:color="000000" w:sz="4"/>
                    <w:left w:val="none" w:color="000000" w:sz="4"/>
                    <w:bottom w:val="single" w:color="000000" w:sz="4"/>
                    <w:right w:val="single" w:color="000000" w:sz="4"/>
                  </w:tcBorders>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 元)</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(元)</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麦新镇</w:t>
                  </w: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好力歹村</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潜水泵</w:t>
                  </w:r>
                  <w:r>
                    <w:rPr>
                      <w:rFonts w:ascii="仿宋_GB2312" w:hAnsi="仿宋_GB2312" w:cs="仿宋_GB2312" w:eastAsia="仿宋_GB2312"/>
                      <w:sz w:val="24"/>
                      <w:color w:val="000000"/>
                    </w:rPr>
                    <w:t>200QJ80-33/3（11.5kw）</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义和村</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9</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潜水泵</w:t>
                  </w:r>
                  <w:r>
                    <w:rPr>
                      <w:rFonts w:ascii="仿宋_GB2312" w:hAnsi="仿宋_GB2312" w:cs="仿宋_GB2312" w:eastAsia="仿宋_GB2312"/>
                      <w:sz w:val="24"/>
                      <w:color w:val="000000"/>
                    </w:rPr>
                    <w:t>200QJ80-33/3（11.5kw）</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保安</w:t>
                  </w:r>
                </w:p>
                <w:p>
                  <w:pPr>
                    <w:pStyle w:val="null5"/>
                    <w:jc w:val="center"/>
                  </w:pPr>
                  <w:r>
                    <w:rPr>
                      <w:rFonts w:ascii="仿宋_GB2312" w:hAnsi="仿宋_GB2312" w:cs="仿宋_GB2312" w:eastAsia="仿宋_GB2312"/>
                      <w:sz w:val="24"/>
                      <w:color w:val="000000"/>
                    </w:rPr>
                    <w:t>农场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草原分场</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立新分场</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牧业分场</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鹿场分场</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建华镇</w:t>
                  </w: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富隆村</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潜水泵</w:t>
                  </w:r>
                  <w:r>
                    <w:rPr>
                      <w:rFonts w:ascii="仿宋_GB2312" w:hAnsi="仿宋_GB2312" w:cs="仿宋_GB2312" w:eastAsia="仿宋_GB2312"/>
                      <w:sz w:val="24"/>
                      <w:color w:val="000000"/>
                    </w:rPr>
                    <w:t>200QJ80-33/3（11.5kw）</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开鲁镇</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明星村</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潜水泵</w:t>
                  </w:r>
                  <w:r>
                    <w:rPr>
                      <w:rFonts w:ascii="仿宋_GB2312" w:hAnsi="仿宋_GB2312" w:cs="仿宋_GB2312" w:eastAsia="仿宋_GB2312"/>
                      <w:sz w:val="24"/>
                      <w:color w:val="000000"/>
                    </w:rPr>
                    <w:t>200QJ80-33/3（11.5kw）</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杨秀峰村</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潜水泵</w:t>
                  </w:r>
                  <w:r>
                    <w:rPr>
                      <w:rFonts w:ascii="仿宋_GB2312" w:hAnsi="仿宋_GB2312" w:cs="仿宋_GB2312" w:eastAsia="仿宋_GB2312"/>
                      <w:sz w:val="24"/>
                      <w:color w:val="000000"/>
                    </w:rPr>
                    <w:t>200QJ80-33/3（11.5kw）</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他拉干水库</w:t>
                  </w: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他拉干水库</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更新水源井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vMerge/>
                  <w:tcBorders>
                    <w:top w:val="none" w:color="000000" w:sz="4"/>
                    <w:left w:val="single" w:color="000000" w:sz="4"/>
                    <w:bottom w:val="single" w:color="000000" w:sz="4"/>
                    <w:right w:val="single" w:color="000000" w:sz="4"/>
                  </w:tcBorders>
                </w:tcPr>
                <w:p/>
              </w:tc>
              <w:tc>
                <w:tcPr>
                  <w:tcW w:type="dxa" w:w="400"/>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潜水泵</w:t>
                  </w:r>
                  <w:r>
                    <w:rPr>
                      <w:rFonts w:ascii="仿宋_GB2312" w:hAnsi="仿宋_GB2312" w:cs="仿宋_GB2312" w:eastAsia="仿宋_GB2312"/>
                      <w:sz w:val="24"/>
                      <w:color w:val="000000"/>
                    </w:rPr>
                    <w:t>200QJ80-33/3（11.5kw）</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机械化林场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机械化林场</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潜水泵</w:t>
                  </w:r>
                  <w:r>
                    <w:rPr>
                      <w:rFonts w:ascii="仿宋_GB2312" w:hAnsi="仿宋_GB2312" w:cs="仿宋_GB2312" w:eastAsia="仿宋_GB2312"/>
                      <w:sz w:val="24"/>
                      <w:color w:val="000000"/>
                    </w:rPr>
                    <w:t>200QJ80-33/3（11.5kw）</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建华</w:t>
                  </w:r>
                </w:p>
                <w:p>
                  <w:pPr>
                    <w:pStyle w:val="null5"/>
                    <w:jc w:val="center"/>
                  </w:pPr>
                  <w:r>
                    <w:rPr>
                      <w:rFonts w:ascii="仿宋_GB2312" w:hAnsi="仿宋_GB2312" w:cs="仿宋_GB2312" w:eastAsia="仿宋_GB2312"/>
                      <w:sz w:val="24"/>
                      <w:color w:val="000000"/>
                    </w:rPr>
                    <w:t>林场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建华林场</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潜水泵</w:t>
                  </w:r>
                  <w:r>
                    <w:rPr>
                      <w:rFonts w:ascii="仿宋_GB2312" w:hAnsi="仿宋_GB2312" w:cs="仿宋_GB2312" w:eastAsia="仿宋_GB2312"/>
                      <w:sz w:val="24"/>
                      <w:color w:val="000000"/>
                    </w:rPr>
                    <w:t>200QJ80-33/3（11.5kw）</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5"/>
              <w:jc w:val="both"/>
            </w:pPr>
            <w:r>
              <w:rPr>
                <w:rFonts w:ascii="仿宋_GB2312" w:hAnsi="仿宋_GB2312" w:cs="仿宋_GB2312" w:eastAsia="仿宋_GB2312"/>
                <w:sz w:val="24"/>
                <w:color w:val="000000"/>
              </w:rPr>
              <w:t>备注：潜水泵均不含安装费，由项目村负责安装。每套潜水泵包括潜水泵、聚丙烯</w:t>
            </w:r>
            <w:r>
              <w:rPr>
                <w:rFonts w:ascii="仿宋_GB2312" w:hAnsi="仿宋_GB2312" w:cs="仿宋_GB2312" w:eastAsia="仿宋_GB2312"/>
                <w:sz w:val="24"/>
                <w:color w:val="000000"/>
              </w:rPr>
              <w:t>MPP水泵提水管8根（长度3m，厚度≥6.0mm、φ110mm），胶圈9个，夹板一副，弯头1个，弹簧垫36个，φ12螺丝36个，3*6防水电缆28m，防水胶布2卷等。</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 供应商在投标时，按照规定可提供《通辽市政府采购供应商信用承诺函》或2023年或2024年度经会计师事务所出具的财务审计报告或其基本开户银行出具的近一年内的银行资信证明。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 供应商在投标时，按照规定可提供《通辽市政府采购供应商信用承诺函》或递交投标文件截止之日前一年内（至少一个月）的良好缴纳税收和社会保险的相关凭据。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 供应商在投标时，按照规定可提供《通辽市政府采购供应商信用承诺函》或出具的“具有履行合同所必须的设备和专业技术能力”声明。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 供应商在投标时，按照规定可提供《通辽市政府采购供应商信用承诺函》或“参加本采购活动前3年内在经营活动中没有重大违法记录”投标人书面声明函。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 供应商在投标时，按照规定可提供《通辽市政府采购供应商信用承诺函》或提交投标文件的截止时间，投标人未被列入失信被执行人、税收违法黑名单、政府采购严重违法失信行为记录名单。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1、投标供应商须具有建设行政主管部门核发的水利水电工程施工总承包三级或以上资质； 2、拟派项目经理具有水利水电工程专业二级或以上注册建造师证书（拟派注册建造师证书的注册单位名称必须与投标单位名称一致）及有效的安全生产考核证书（B证）；技术负责人具备中级或以上（相关专业）职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按要求进行网上投标，本项目不收取竞标保证金。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1.审查竞标人是否按给定的工程量和项目内容及已标价工程量清单格式进行清单报价；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内容完整且编制合理3.1-5分； 内容基本完整且编制基本合理的得 1-3分； 内容不完整或编制不合理的不得分。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施工方案合理可行，技术措施对工程质量、工期和施工安全有充分保障的得 8.1-12分； 施工方案可行，技术措施对工程质量、工期和施工安全有保障的得4.1-8分； 施工方案基本可行，技术措施对工程质量、工期和施工安全有一定保障的得1-4分，没有不得分。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质量管理体系与措施完善的得3.1-5分； 基本完善的得1-3分；不完善不得分。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安全管理体系与措施完善的得3.1-5分； 基本完善的得1-3分；不完善不得分。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环境保护管理体系与措施完善的得3.1-5分； 基本完善的得1-3分；不完善不得分。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工程进度计划与措施合理可行且满足项目要求工期的得3.1-5分； 工程进度计划与措施基本合理可行且满足投标须知要求工期的得 1-3分， 没有不得分。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总平面图布置合理</w:t>
            </w:r>
          </w:p>
        </w:tc>
        <w:tc>
          <w:tcPr>
            <w:tcW w:type="dxa" w:w="3115"/>
          </w:tcPr>
          <w:p>
            <w:pPr>
              <w:pStyle w:val="null5"/>
              <w:jc w:val="left"/>
            </w:pPr>
            <w:r>
              <w:rPr>
                <w:rFonts w:ascii="仿宋_GB2312" w:hAnsi="仿宋_GB2312" w:cs="仿宋_GB2312" w:eastAsia="仿宋_GB2312"/>
              </w:rPr>
              <w:t>一般的得1-2分；合理的得3分；无此项不得分。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根据拟投入本工程的主要机械设备的数量、质量能否满足本工程的使用情况酌情打分（0-4分）。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成品保护和工程保修工作的措施和承诺</w:t>
            </w:r>
          </w:p>
        </w:tc>
        <w:tc>
          <w:tcPr>
            <w:tcW w:type="dxa" w:w="3115"/>
          </w:tcPr>
          <w:p>
            <w:pPr>
              <w:pStyle w:val="null5"/>
              <w:jc w:val="left"/>
            </w:pPr>
            <w:r>
              <w:rPr>
                <w:rFonts w:ascii="仿宋_GB2312" w:hAnsi="仿宋_GB2312" w:cs="仿宋_GB2312" w:eastAsia="仿宋_GB2312"/>
              </w:rPr>
              <w:t>成品保护和工程保修工作的措施及承诺具体、切实可行的得1.1-3分，一般的得0-1。</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紧急情况的处理措施、预案以及抵抗风险的措施</w:t>
            </w:r>
          </w:p>
        </w:tc>
        <w:tc>
          <w:tcPr>
            <w:tcW w:type="dxa" w:w="3115"/>
          </w:tcPr>
          <w:p>
            <w:pPr>
              <w:pStyle w:val="null5"/>
              <w:jc w:val="left"/>
            </w:pPr>
            <w:r>
              <w:rPr>
                <w:rFonts w:ascii="仿宋_GB2312" w:hAnsi="仿宋_GB2312" w:cs="仿宋_GB2312" w:eastAsia="仿宋_GB2312"/>
              </w:rPr>
              <w:t>紧急预案布控清晰、明确，处理措施科学合理的得1.1-3分，一般的得0-1分。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项目机构管理配置</w:t>
            </w:r>
          </w:p>
        </w:tc>
        <w:tc>
          <w:tcPr>
            <w:tcW w:type="dxa" w:w="3115"/>
          </w:tcPr>
          <w:p>
            <w:pPr>
              <w:pStyle w:val="null5"/>
              <w:jc w:val="left"/>
            </w:pPr>
            <w:r>
              <w:rPr>
                <w:rFonts w:ascii="仿宋_GB2312" w:hAnsi="仿宋_GB2312" w:cs="仿宋_GB2312" w:eastAsia="仿宋_GB2312"/>
              </w:rPr>
              <w:t>项目管理机构配备合理（项目经理、技术负责人、岗位人员等），配备齐全的得7分，少一人扣1分。 注：响应文件中提供加盖公章的扫描件。</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竞标人2022年至今施工过类似项目，每提供一个类似项目业绩得2分，满分8分。 注：响应文件中须提供中标通知书及合同原件的扫描件。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建筑市场信用</w:t>
            </w:r>
          </w:p>
        </w:tc>
        <w:tc>
          <w:tcPr>
            <w:tcW w:type="dxa" w:w="3115"/>
          </w:tcPr>
          <w:p>
            <w:pPr>
              <w:pStyle w:val="null5"/>
              <w:jc w:val="left"/>
            </w:pPr>
            <w:r>
              <w:rPr>
                <w:rFonts w:ascii="仿宋_GB2312" w:hAnsi="仿宋_GB2312" w:cs="仿宋_GB2312" w:eastAsia="仿宋_GB2312"/>
              </w:rPr>
              <w:t>竞标人或拟派项目经理近三年发生过诉讼、仲裁及在建筑市场中违法违规被监管部门通报、罚款和纪律处分的，有一次扣1分，扣完为止，没有的得5分。 （以采购文件要求相关截图为准）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