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开鲁县人口相对集中行政村生活垃圾集中治理项目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开鲁县住房和城乡建设局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内蒙古晨昕工程项目管理有限公司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KLXZCS-G-H-250005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内蒙古晨昕工程项目管理有限公司</w:t>
      </w:r>
      <w:r>
        <w:rPr>
          <w:rFonts w:ascii="仿宋_GB2312" w:hAnsi="仿宋_GB2312" w:cs="仿宋_GB2312" w:eastAsia="仿宋_GB2312"/>
        </w:rPr>
        <w:t xml:space="preserve"> 受 </w:t>
      </w:r>
      <w:r>
        <w:rPr>
          <w:rFonts w:ascii="仿宋_GB2312" w:hAnsi="仿宋_GB2312" w:cs="仿宋_GB2312" w:eastAsia="仿宋_GB2312"/>
        </w:rPr>
        <w:t>开鲁县住房和城乡建设局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开鲁县人口相对集中行政村生活垃圾集中治理项目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开鲁县人口相对集中行政村生活垃圾集中治理项目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KLXZCS-G-H-250005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150523[2025]00262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3,850,000.00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生活垃圾高温焚烧设备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3,400,000.00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生活垃圾高温焚烧设备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3,400,000.00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525,000.00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装载机</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525,000.00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1,412,000.00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3m³车厢可卸式垃圾车（钩臂车）</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312,000.00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自卸式垃圾车</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600,000.00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3m³钩臂式垃圾箱</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500,000.00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内蒙古晨昕工程项目管理有限公司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内蒙古自治区通辽市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赵美玲</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13354751213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开鲁县住房和城乡建设局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开鲁县开鲁镇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佟颖</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13015134836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4</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代理服务费收费标准：参照《关于印发&lt;内蒙古自治区建设工程招标代理服务收费指导意见&gt;的通知》（内工建协〔2022〕34号）规定的费率及指导标准计算收取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本项目可兼投4包，本项目可兼中4包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开鲁县住房和城乡建设局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内蒙古晨昕工程项目管理有限公司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响应)时，按照通辽市财政局关于印发《通辽市政府采购“双向承诺+信用管理”工作方案》的通知（通财购〔2023〕195号）文件规定，须提供《通辽市政府采购供应商信用承诺函》（格式详见内蒙古政府采购网采购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7"/>
          <w:color w:val="000000"/>
        </w:rPr>
        <w:t>开鲁县人口相对集中行政村生活垃圾集中治理项目：采购垃圾焚烧设备两台、装</w:t>
      </w:r>
      <w:r>
        <w:rPr>
          <w:rFonts w:ascii="仿宋_GB2312" w:hAnsi="仿宋_GB2312" w:cs="仿宋_GB2312" w:eastAsia="仿宋_GB2312"/>
          <w:sz w:val="27"/>
          <w:color w:val="000000"/>
        </w:rPr>
        <w:t>载机三台、3m³车厢可卸式垃圾车（钩臂车）三台、自卸式垃圾车三台、3m³钩臂式垃圾</w:t>
      </w:r>
      <w:r>
        <w:rPr>
          <w:rFonts w:ascii="仿宋_GB2312" w:hAnsi="仿宋_GB2312" w:cs="仿宋_GB2312" w:eastAsia="仿宋_GB2312"/>
          <w:sz w:val="27"/>
          <w:color w:val="000000"/>
        </w:rPr>
        <w:t>箱一百个。</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合同签订后20个日历天内交货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1、合同签订后预付合同价款的40%，达到付款条件起5日，支付合同总金额的40.00%</w:t>
            </w:r>
          </w:p>
          <w:p>
            <w:pPr>
              <w:pStyle w:val="null5"/>
              <w:jc w:val="left"/>
            </w:pPr>
            <w:r>
              <w:rPr>
                <w:rFonts w:ascii="仿宋_GB2312" w:hAnsi="仿宋_GB2312" w:cs="仿宋_GB2312" w:eastAsia="仿宋_GB2312"/>
              </w:rPr>
              <w:t>2、供货完毕并验收合格后支付合同价款的55%，达到付款条件起5日，支付合同总金额的55.00%</w:t>
            </w:r>
          </w:p>
          <w:p>
            <w:pPr>
              <w:pStyle w:val="null5"/>
              <w:jc w:val="left"/>
            </w:pPr>
            <w:r>
              <w:rPr>
                <w:rFonts w:ascii="仿宋_GB2312" w:hAnsi="仿宋_GB2312" w:cs="仿宋_GB2312" w:eastAsia="仿宋_GB2312"/>
              </w:rPr>
              <w:t>3、两年质量保证期期满后支付合同价款的5%，达到付款条件起5日，支付合同总金额的5.00%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一）本采购文件所列货物的技术参数、要求等信息，均不特指任何厂家的货物，如有相同，实属巧合。为了保证货物质量，投标人不得恶意报价降低货物质量，若中标（成交）后因货物质量不合格出现的一切问题，采购人有权终止合同，中标人须承担由此对采购人造成的全部损失。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中标通知书发出后，中标人应积极主动联系采购人，尽快办理政府采购合同签订事宜。</w:t>
              <w:br/>
              <w:t>（二）投标人报价包括本项目采购需求和投入使用、实施的所有费用，如主件、标准附件、备品备件、设备配套的部分土建工程、协助使用单位办理车辆上牌手续服务、专用工具、安装、调试、检验、培训、运输、保险、税款及合同包含的所有风险、责任及代理费用等。</w:t>
              <w:br/>
              <w:t>（三）积极支持中小企业政府采购合同融资：中标（成交）供应商在中标（成交）后可凭借采购合同申请“政采贷”扶持政策，“政采贷”政策合同融资为支持和促进中小企业发展，切实解决企业融资难问题，政府采购项目已开通合同融资渠道，供应商中标（成交）后可通过中标（成交）合同向相关银行发起无抵押无担保融资申请，银行根据企业中标（成交）信息发放贷款，帮助企业解决融资问题。相关资料可查阅：http://39.104.85.103/zcdservice/zcd/neimeng。</w:t>
              <w:br/>
              <w:t>（四）推进政府采购领域应用电子保函:贯彻落实《关于持续加强政府采购监督更好服务市场主体的通知》（通财购〔2022〕443号）文件推进政府采购领域 应用电子保函的要求，本采购项目中若涉及到投标保证金和履约保证金的，需充分利用政府采购电子保函系统，实现供应商在线开函。全市推广投标保函和履约保函，全面支撑政府采购各业务环节“用函”需求，缓解企业资金压力，减 轻企业参加政府采购活动负担。若本项目不涉及投标保证金、履约保证金的，则不适用以上约定内容。</w:t>
              <w:br/>
              <w:t>（五）采购代理服务费：采购代理机构以中标（成交）价为基数，参照《内蒙古自治区建设工程招标代理服务收费指导意见》的通知（内工建协[2022]34号）规定的费率及指导标准计算收取，由成交供应商支付。</w:t>
              <w:br/>
              <w:t>（六）合同签订及履约验收事宜:按照国家有关规定及通辽市财政局通财购〔2022〕554号关于印发《通辽市政府采购合同签订和履约验收操作指引》的通知执行。</w:t>
              <w:br/>
              <w:t>（七）售后服务要求:中标人应按采购文件、投标文件及其在采购过程中做出的书面说明或承诺提供及时、快速、优质的售后服务。中标人须保证货物是全新、未使用过的，并完全符合强制性的国家质量规范和合同规定的质量、规格和技术规范等的要求。</w:t>
              <w:br/>
              <w:t>（八）其他商务要求（包装和运输、保险等）：满足采购人货物包装要求，确保货物安全无损，运抵现场。由于包装不善所引起的货物损坏和损失均由卖方承担。运输要求：运输费、保险费及相关费用由乙方承担。</w:t>
              <w:br/>
              <w:t>（九）质量保修范围和保修期：质量保修范围包括中标人提供的全部货物。质保期2年。保证严格履行产品三包政策，建立完善产品质量溯源制度，严格执行国家、行业、采购人规定的相关质保要求。</w:t>
              <w:br/>
              <w:t>（十）知识产权归属、处理方式：中标人应保证采购人在使用该货物或其任何一部分时不受第三方提出的侵犯专利权、著作权、商标权和工业设计权等的起诉。如果任何第三方提出侵权指控，中标人须与第三方交涉并承担由此发生的一切责任、费用和经济赔偿。</w:t>
              <w:br/>
              <w:t>（十一）成本补偿、风险分担约定：（1）本项目属于货物买卖合同，在合同期内，本合同涵盖的所有货物的运输、纳税及质保期内维保费用。支出由中标人承担。（2）由于火灾、地震等不可抗因素造成违约风险，或由于货物被盗或人为损坏等人为因素造成的损失，由采购人承担。（3）由于自然灾害等原因，造成的间接损失，由双方协商承担风险。</w:t>
              <w:br/>
              <w:t>（十二）违约责任与解决争议的方法：</w:t>
              <w:br/>
              <w:t>违约责任：除不可抗力规定外，如果供应商没有按照合同规定的时间提供货物及对应服务，采购人可要求供应商支付违约金，违约金金额详见合同约定。</w:t>
              <w:br/>
              <w:t>合同争议的解决：本合同在履行过程中发生争议，由双方当事人协商解决；如发生纠纷双方协商解决，协商不成的,任何一方均可向采购人所在地所属有管辖权的人民法院提起诉讼。诉讼费用由败诉方承担。</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合同签订后20个日历天内交货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1、合同签订后预付合同价款的40%，达到付款条件起5日，支付合同总金额的40.00%</w:t>
            </w:r>
          </w:p>
          <w:p>
            <w:pPr>
              <w:pStyle w:val="null5"/>
              <w:jc w:val="left"/>
            </w:pPr>
            <w:r>
              <w:rPr>
                <w:rFonts w:ascii="仿宋_GB2312" w:hAnsi="仿宋_GB2312" w:cs="仿宋_GB2312" w:eastAsia="仿宋_GB2312"/>
              </w:rPr>
              <w:t>2、供货完毕并验收合格后支付合同价款的55%，达到付款条件起5日，支付合同总金额的55.00%</w:t>
            </w:r>
          </w:p>
          <w:p>
            <w:pPr>
              <w:pStyle w:val="null5"/>
              <w:jc w:val="left"/>
            </w:pPr>
            <w:r>
              <w:rPr>
                <w:rFonts w:ascii="仿宋_GB2312" w:hAnsi="仿宋_GB2312" w:cs="仿宋_GB2312" w:eastAsia="仿宋_GB2312"/>
              </w:rPr>
              <w:t>3、两年质量保证期期满后支付合同价款的5%，达到付款条件起5日，支付合同总金额的5.00%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一）本采购文件所列货物的技术参数、要求等信息，均不特指任何厂家的货物，如有相同，实属巧合。为了保证货物质量，投标人不得恶意报价降低货物质量，若中标（成交）后因货物质量不合格出现的一切问题，采购人有权终止合同，中标人须承担由此对采购人造成的全部损失。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中标通知书发出后，中标人应积极主动联系采购人，尽快办理政府采购合同签订事宜。</w:t>
              <w:br/>
              <w:t>（二）投标人报价包括本项目采购需求和投入使用、实施的所有费用，如主件、标准附件、备品备件、设备配套的部分土建工程、协助使用单位办理车辆上牌手续服务、专用工具、安装、调试、检验、培训、运输、保险、税款及合同包含的所有风险、责任及代理费用等。</w:t>
              <w:br/>
              <w:t>（三）积极支持中小企业政府采购合同融资：中标（成交）供应商在中标（成交）后可凭借采购合同申请“政采贷”扶持政策，“政采贷”政策合同融资为支持和促进中小企业发展，切实解决企业融资难问题，政府采购项目已开通合同融资渠道，供应商中标（成交）后可通过中标（成交）合同向相关银行发起无抵押无担保融资申请，银行根据企业中标（成交）信息发放贷款，帮助企业解决融资问题。相关资料可查阅：http://39.104.85.103/zcdservice/zcd/neimeng。</w:t>
              <w:br/>
              <w:t>（四）推进政府采购领域应用电子保函:贯彻落实《关于持续加强政府采购监督更好服务市场主体的通知》（通财购〔2022〕443号）文件推进政府采购领域 应用电子保函的要求，本采购项目中若涉及到投标保证金和履约保证金的，需充分利用政府采购电子保函系统，实现供应商在线开函。全市推广投标保函和履约保函，全面支撑政府采购各业务环节“用函”需求，缓解企业资金压力，减 轻企业参加政府采购活动负担。若本项目不涉及投标保证金、履约保证金的，则不适用以上约定内容。</w:t>
              <w:br/>
              <w:t>（五）采购代理服务费：采购代理机构以中标（成交）价为基数，参照《内蒙古自治区建设工程招标代理服务收费指导意见》的通知（内工建协[2022]34号）规定的费率及指导标准计算收取，由成交供应商支付。</w:t>
              <w:br/>
              <w:t>（六）合同签订及履约验收事宜:按照国家有关规定及通辽市财政局通财购〔2022〕554号关于印发《通辽市政府采购合同签订和履约验收操作指引》的通知执行。</w:t>
              <w:br/>
              <w:t>（七）售后服务要求:中标人应按采购文件、投标文件及其在采购过程中做出的书面说明或承诺提供及时、快速、优质的售后服务。中标人须保证货物是全新、未使用过的，并完全符合强制性的国家质量规范和合同规定的质量、规格和技术规范等的要求。</w:t>
              <w:br/>
              <w:t>（八）其他商务要求（包装和运输、保险等）：满足采购人货物包装要求，确保货物安全无损，运抵现场。由于包装不善所引起的货物损坏和损失均由卖方承担。运输要求：运输费、保险费及相关费用由乙方承担。</w:t>
              <w:br/>
              <w:t>（九）质量保修范围和保修期：质量保修范围包括中标人提供的全部货物。质保期2年。保证严格履行产品三包政策，建立完善产品质量溯源制度，严格执行国家、行业、采购人规定的相关质保要求。</w:t>
              <w:br/>
              <w:t>（十）知识产权归属、处理方式：中标人应保证采购人在使用该货物或其任何一部分时不受第三方提出的侵犯专利权、著作权、商标权和工业设计权等的起诉。如果任何第三方提出侵权指控，中标人须与第三方交涉并承担由此发生的一切责任、费用和经济赔偿。</w:t>
              <w:br/>
              <w:t>（十一）成本补偿、风险分担约定：（1）本项目属于货物买卖合同，在合同期内，本合同涵盖的所有货物的运输、纳税及质保期内维保费用。支出由中标人承担。（2）由于火灾、地震等不可抗因素造成违约风险，或由于货物被盗或人为损坏等人为因素造成的损失，由采购人承担。（3）由于自然灾害等原因，造成的间接损失，由双方协商承担风险。</w:t>
              <w:br/>
              <w:t>（十二）违约责任与解决争议的方法：</w:t>
              <w:br/>
              <w:t>违约责任：除不可抗力规定外，如果供应商没有按照合同规定的时间提供货物及对应服务，采购人可要求供应商支付违约金，违约金金额详见合同约定。</w:t>
              <w:br/>
              <w:t>合同争议的解决：本合同在履行过程中发生争议，由双方当事人协商解决；如发生纠纷双方协商解决，协商不成的,任何一方均可向采购人所在地所属有管辖权的人民法院提起诉讼。诉讼费用由败诉方承担。</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合同签订后20个日历天内交货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1、合同签订后预付合同价款的40%，达到付款条件起5日，支付合同总金额的40.00%</w:t>
            </w:r>
          </w:p>
          <w:p>
            <w:pPr>
              <w:pStyle w:val="null5"/>
              <w:jc w:val="left"/>
            </w:pPr>
            <w:r>
              <w:rPr>
                <w:rFonts w:ascii="仿宋_GB2312" w:hAnsi="仿宋_GB2312" w:cs="仿宋_GB2312" w:eastAsia="仿宋_GB2312"/>
              </w:rPr>
              <w:t>2、供货完毕并验收合格后支付合同价款的55%，达到付款条件起5日，支付合同总金额的55.00%</w:t>
            </w:r>
          </w:p>
          <w:p>
            <w:pPr>
              <w:pStyle w:val="null5"/>
              <w:jc w:val="left"/>
            </w:pPr>
            <w:r>
              <w:rPr>
                <w:rFonts w:ascii="仿宋_GB2312" w:hAnsi="仿宋_GB2312" w:cs="仿宋_GB2312" w:eastAsia="仿宋_GB2312"/>
              </w:rPr>
              <w:t>3、两年质量保证期期满后支付合同价款的5%，达到付款条件起5日，支付合同总金额的5.00%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一）本采购文件所列货物的技术参数、要求等信息，均不特指任何厂家的货物，如有相同，实属巧合。为了保证货物质量，投标人不得恶意报价降低货物质量，若中标（成交）后因货物质量不合格出现的一切问题，采购人有权终止合同，中标人须承担由此对采购人造成的全部损失。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中标通知书发出后，中标人应积极主动联系采购人，尽快办理政府采购合同签订事宜。</w:t>
              <w:br/>
              <w:t>（二）投标人报价包括本项目采购需求和投入使用、实施的所有费用，如主件、标准附件、备品备件、设备配套的部分土建工程、协助使用单位办理车辆上牌手续服务、专用工具、安装、调试、检验、培训、运输、保险、税款及合同包含的所有风险、责任及代理费用等。</w:t>
              <w:br/>
              <w:t>（三）积极支持中小企业政府采购合同融资：中标（成交）供应商在中标（成交）后可凭借采购合同申请“政采贷”扶持政策，“政采贷”政策合同融资为支持和促进中小企业发展，切实解决企业融资难问题，政府采购项目已开通合同融资渠道，供应商中标（成交）后可通过中标（成交）合同向相关银行发起无抵押无担保融资申请，银行根据企业中标（成交）信息发放贷款，帮助企业解决融资问题。相关资料可查阅：http://39.104.85.103/zcdservice/zcd/neimeng。</w:t>
              <w:br/>
              <w:t>（四）推进政府采购领域应用电子保函:贯彻落实《关于持续加强政府采购监督更好服务市场主体的通知》（通财购〔2022〕443号）文件推进政府采购领域 应用电子保函的要求，本采购项目中若涉及到投标保证金和履约保证金的，需充分利用政府采购电子保函系统，实现供应商在线开函。全市推广投标保函和履约保函，全面支撑政府采购各业务环节“用函”需求，缓解企业资金压力，减 轻企业参加政府采购活动负担。若本项目不涉及投标保证金、履约保证金的，则不适用以上约定内容。</w:t>
              <w:br/>
              <w:t>（五）采购代理服务费：采购代理机构以中标（成交）价为基数，参照《内蒙古自治区建设工程招标代理服务收费指导意见》的通知（内工建协[2022]34号）规定的费率及指导标准计算收取，由成交供应商支付。</w:t>
              <w:br/>
              <w:t>（六）合同签订及履约验收事宜:按照国家有关规定及通辽市财政局通财购〔2022〕554号关于印发《通辽市政府采购合同签订和履约验收操作指引》的通知执行。</w:t>
              <w:br/>
              <w:t>（七）售后服务要求:中标人应按采购文件、投标文件及其在采购过程中做出的书面说明或承诺提供及时、快速、优质的售后服务。中标人须保证货物是全新、未使用过的，并完全符合强制性的国家质量规范和合同规定的质量、规格和技术规范等的要求。</w:t>
              <w:br/>
              <w:t>（八）其他商务要求（包装和运输、保险等）：满足采购人货物包装要求，确保货物安全无损，运抵现场。由于包装不善所引起的货物损坏和损失均由卖方承担。运输要求：运输费、保险费及相关费用由乙方承担。</w:t>
              <w:br/>
              <w:t>（九）质量保修范围和保修期：质量保修范围包括中标人提供的全部货物。质保期2年。保证严格履行产品三包政策，建立完善产品质量溯源制度，严格执行国家、行业、采购人规定的相关质保要求。</w:t>
              <w:br/>
              <w:t>（十）知识产权归属、处理方式：中标人应保证采购人在使用该货物或其任何一部分时不受第三方提出的侵犯专利权、著作权、商标权和工业设计权等的起诉。如果任何第三方提出侵权指控，中标人须与第三方交涉并承担由此发生的一切责任、费用和经济赔偿。</w:t>
              <w:br/>
              <w:t>（十一）成本补偿、风险分担约定：（1）本项目属于货物买卖合同，在合同期内，本合同涵盖的所有货物的运输、纳税及质保期内维保费用。支出由中标人承担。（2）由于火灾、地震等不可抗因素造成违约风险，或由于货物被盗或人为损坏等人为因素造成的损失，由采购人承担。（3）由于自然灾害等原因，造成的间接损失，由双方协商承担风险。</w:t>
              <w:br/>
              <w:t>（十二）违约责任与解决争议的方法：</w:t>
              <w:br/>
              <w:t>违约责任：除不可抗力规定外，如果供应商没有按照合同规定的时间提供货物及对应服务，采购人可要求供应商支付违约金，违约金金额详见合同约定。</w:t>
              <w:br/>
              <w:t>合同争议的解决：本合同在履行过程中发生争议，由双方当事人协商解决；如发生纠纷双方协商解决，协商不成的,任何一方均可向采购人所在地所属有管辖权的人民法院提起诉讼。诉讼费用由败诉方承担。</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合同签订后20个日历天内交货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1、合同签订后预付合同价款的40%，达到付款条件起5日，支付合同总金额的40.00%</w:t>
            </w:r>
          </w:p>
          <w:p>
            <w:pPr>
              <w:pStyle w:val="null5"/>
              <w:jc w:val="left"/>
            </w:pPr>
            <w:r>
              <w:rPr>
                <w:rFonts w:ascii="仿宋_GB2312" w:hAnsi="仿宋_GB2312" w:cs="仿宋_GB2312" w:eastAsia="仿宋_GB2312"/>
              </w:rPr>
              <w:t>2、供货完毕并验收合格后支付合同价款的55%，达到付款条件起5日，支付合同总金额的55.00%</w:t>
            </w:r>
          </w:p>
          <w:p>
            <w:pPr>
              <w:pStyle w:val="null5"/>
              <w:jc w:val="left"/>
            </w:pPr>
            <w:r>
              <w:rPr>
                <w:rFonts w:ascii="仿宋_GB2312" w:hAnsi="仿宋_GB2312" w:cs="仿宋_GB2312" w:eastAsia="仿宋_GB2312"/>
              </w:rPr>
              <w:t>3、两年质量保证期期满后支付合同价款的5%，达到付款条件起5日，支付合同总金额的5.00%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一）本采购文件所列货物的技术参数、要求等信息，均不特指任何厂家的货物，如有相同，实属巧合。为了保证货物质量，投标人不得恶意报价降低货物质量，若中标（成交）后因货物质量不合格出现的一切问题，采购人有权终止合同，中标人须承担由此对采购人造成的全部损失。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中标通知书发出后，中标人应积极主动联系采购人，尽快办理政府采购合同签订事宜。</w:t>
              <w:br/>
              <w:t>（二）投标人报价包括本项目采购需求和投入使用、实施的所有费用，如主件、标准附件、备品备件、设备配套的部分土建工程、协助使用单位办理车辆上牌手续服务、专用工具、安装、调试、检验、培训、运输、保险、税款及合同包含的所有风险、责任及代理费用等。</w:t>
              <w:br/>
              <w:t>（三）积极支持中小企业政府采购合同融资：中标（成交）供应商在中标（成交）后可凭借采购合同申请“政采贷”扶持政策，“政采贷”政策合同融资为支持和促进中小企业发展，切实解决企业融资难问题，政府采购项目已开通合同融资渠道，供应商中标（成交）后可通过中标（成交）合同向相关银行发起无抵押无担保融资申请，银行根据企业中标（成交）信息发放贷款，帮助企业解决融资问题。相关资料可查阅：http://39.104.85.103/zcdservice/zcd/neimeng。</w:t>
              <w:br/>
              <w:t>（四）推进政府采购领域应用电子保函:贯彻落实《关于持续加强政府采购监督更好服务市场主体的通知》（通财购〔2022〕443号）文件推进政府采购领域 应用电子保函的要求，本采购项目中若涉及到投标保证金和履约保证金的，需充分利用政府采购电子保函系统，实现供应商在线开函。全市推广投标保函和履约保函，全面支撑政府采购各业务环节“用函”需求，缓解企业资金压力，减 轻企业参加政府采购活动负担。若本项目不涉及投标保证金、履约保证金的，则不适用以上约定内容。</w:t>
              <w:br/>
              <w:t>（五）采购代理服务费：采购代理机构以中标（成交）价为基数，参照《内蒙古自治区建设工程招标代理服务收费指导意见》的通知（内工建协[2022]34号）规定的费率及指导标准计算收取，由成交供应商支付。</w:t>
              <w:br/>
              <w:t>（六）合同签订及履约验收事宜:按照国家有关规定及通辽市财政局通财购〔2022〕554号关于印发《通辽市政府采购合同签订和履约验收操作指引》的通知执行。</w:t>
              <w:br/>
              <w:t>（七）售后服务要求:中标人应按采购文件、投标文件及其在采购过程中做出的书面说明或承诺提供及时、快速、优质的售后服务。中标人须保证货物是全新、未使用过的，并完全符合强制性的国家质量规范和合同规定的质量、规格和技术规范等的要求。</w:t>
              <w:br/>
              <w:t>（八）其他商务要求（包装和运输、保险等）：满足采购人货物包装要求，确保货物安全无损，运抵现场。由于包装不善所引起的货物损坏和损失均由卖方承担。运输要求：运输费、保险费及相关费用由乙方承担。</w:t>
              <w:br/>
              <w:t>（九）质量保修范围和保修期：质量保修范围包括中标人提供的全部货物。质保期2年。保证严格履行产品三包政策，建立完善产品质量溯源制度，严格执行国家、行业、采购人规定的相关质保要求。</w:t>
              <w:br/>
              <w:t>（十）知识产权归属、处理方式：中标人应保证采购人在使用该货物或其任何一部分时不受第三方提出的侵犯专利权、著作权、商标权和工业设计权等的起诉。如果任何第三方提出侵权指控，中标人须与第三方交涉并承担由此发生的一切责任、费用和经济赔偿。</w:t>
              <w:br/>
              <w:t>（十一）成本补偿、风险分担约定：（1）本项目属于货物买卖合同，在合同期内，本合同涵盖的所有货物的运输、纳税及质保期内维保费用。支出由中标人承担。（2）由于火灾、地震等不可抗因素造成违约风险，或由于货物被盗或人为损坏等人为因素造成的损失，由采购人承担。（3）由于自然灾害等原因，造成的间接损失，由双方协商承担风险。</w:t>
              <w:br/>
              <w:t>（十二）违约责任与解决争议的方法：</w:t>
              <w:br/>
              <w:t>违约责任：除不可抗力规定外，如果供应商没有按照合同规定的时间提供货物及对应服务，采购人可要求供应商支付违约金，违约金金额详见合同约定。</w:t>
              <w:br/>
              <w:t>合同争议的解决：本合同在履行过程中发生争议，由双方当事人协商解决；如发生纠纷双方协商解决，协商不成的,任何一方均可向采购人所在地所属有管辖权的人民法院提起诉讼。诉讼费用由败诉方承担。</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标的名称：生活垃圾高温焚烧设备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生活垃圾热解气化炉</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R≥5400㎜，H≥5500㎜，V≥60m³(耐高温800℃以上)；日处理生活垃圾：9吨；</w:t>
            </w:r>
          </w:p>
          <w:p>
            <w:pPr>
              <w:pStyle w:val="null5"/>
              <w:jc w:val="left"/>
            </w:pPr>
            <w:r>
              <w:rPr>
                <w:rFonts w:ascii="仿宋_GB2312" w:hAnsi="仿宋_GB2312" w:cs="仿宋_GB2312" w:eastAsia="仿宋_GB2312"/>
                <w:sz w:val="21"/>
                <w:color w:val="000000"/>
              </w:rPr>
              <w:t>四方位出灰口入炉物料：热值</w:t>
            </w:r>
            <w:r>
              <w:rPr>
                <w:rFonts w:ascii="仿宋_GB2312" w:hAnsi="仿宋_GB2312" w:cs="仿宋_GB2312" w:eastAsia="仿宋_GB2312"/>
                <w:sz w:val="21"/>
                <w:color w:val="000000"/>
              </w:rPr>
              <w:t>3500—5500KJ/KG生活垃圾，垃圾减量率：＞95%；灰渣热灼减率：≤3%；</w:t>
            </w:r>
          </w:p>
          <w:p>
            <w:pPr>
              <w:pStyle w:val="null5"/>
              <w:jc w:val="left"/>
            </w:pPr>
            <w:r>
              <w:rPr>
                <w:rFonts w:ascii="仿宋_GB2312" w:hAnsi="仿宋_GB2312" w:cs="仿宋_GB2312" w:eastAsia="仿宋_GB2312"/>
                <w:sz w:val="21"/>
                <w:color w:val="000000"/>
              </w:rPr>
              <w:t>水循环系统（泵功率</w:t>
            </w:r>
            <w:r>
              <w:rPr>
                <w:rFonts w:ascii="仿宋_GB2312" w:hAnsi="仿宋_GB2312" w:cs="仿宋_GB2312" w:eastAsia="仿宋_GB2312"/>
                <w:sz w:val="21"/>
                <w:color w:val="000000"/>
              </w:rPr>
              <w:t>1套）：2.2KW×4组，流量11m³，扬程28m污水回喷泵功率：0.75KW，流量10m³ ，扬程10m；</w:t>
            </w:r>
          </w:p>
          <w:p>
            <w:pPr>
              <w:pStyle w:val="null5"/>
              <w:jc w:val="left"/>
            </w:pPr>
            <w:r>
              <w:rPr>
                <w:rFonts w:ascii="仿宋_GB2312" w:hAnsi="仿宋_GB2312" w:cs="仿宋_GB2312" w:eastAsia="仿宋_GB2312"/>
                <w:sz w:val="21"/>
                <w:color w:val="000000"/>
              </w:rPr>
              <w:t>引风系统设备</w:t>
            </w:r>
            <w:r>
              <w:rPr>
                <w:rFonts w:ascii="仿宋_GB2312" w:hAnsi="仿宋_GB2312" w:cs="仿宋_GB2312" w:eastAsia="仿宋_GB2312"/>
                <w:sz w:val="21"/>
                <w:color w:val="000000"/>
              </w:rPr>
              <w:t>1套（离心通风机功率）：15KW×1组；</w:t>
            </w:r>
          </w:p>
          <w:p>
            <w:pPr>
              <w:pStyle w:val="null5"/>
              <w:jc w:val="left"/>
            </w:pPr>
            <w:r>
              <w:rPr>
                <w:rFonts w:ascii="仿宋_GB2312" w:hAnsi="仿宋_GB2312" w:cs="仿宋_GB2312" w:eastAsia="仿宋_GB2312"/>
                <w:sz w:val="21"/>
                <w:color w:val="000000"/>
              </w:rPr>
              <w:t>排烟管道</w:t>
            </w:r>
            <w:r>
              <w:rPr>
                <w:rFonts w:ascii="仿宋_GB2312" w:hAnsi="仿宋_GB2312" w:cs="仿宋_GB2312" w:eastAsia="仿宋_GB2312"/>
                <w:sz w:val="21"/>
                <w:color w:val="000000"/>
              </w:rPr>
              <w:t>1套（连接管道）：管道Φ273㎜；烟囱：H≥12m Φ325 ㎜；材质：碳钢、防锈防腐；</w:t>
            </w:r>
          </w:p>
          <w:p>
            <w:pPr>
              <w:pStyle w:val="null5"/>
              <w:jc w:val="left"/>
            </w:pPr>
            <w:r>
              <w:rPr>
                <w:rFonts w:ascii="仿宋_GB2312" w:hAnsi="仿宋_GB2312" w:cs="仿宋_GB2312" w:eastAsia="仿宋_GB2312"/>
                <w:sz w:val="21"/>
                <w:color w:val="000000"/>
              </w:rPr>
              <w:t>液压装置系统设备</w:t>
            </w:r>
            <w:r>
              <w:rPr>
                <w:rFonts w:ascii="仿宋_GB2312" w:hAnsi="仿宋_GB2312" w:cs="仿宋_GB2312" w:eastAsia="仿宋_GB2312"/>
                <w:sz w:val="21"/>
                <w:color w:val="000000"/>
              </w:rPr>
              <w:t>1套（功率）：3.75KW×1组；定额液压型号：80升；材质结构：组合成套设备；</w:t>
            </w:r>
          </w:p>
          <w:p>
            <w:pPr>
              <w:pStyle w:val="null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二燃室设备</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R≥950㎜，H≥4500㎜；耐高温1200℃以上，燃烧温度：＞850℃；烟气停留时间：＞2s；</w:t>
            </w:r>
          </w:p>
          <w:p>
            <w:pPr>
              <w:pStyle w:val="null5"/>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急冷系统</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R≥900㎜，H≥3500㎜；烟气通流量：≥8000m³/h；</w:t>
            </w:r>
          </w:p>
          <w:p>
            <w:pPr>
              <w:pStyle w:val="null5"/>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高压水幕除尘系统</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R≥800㎜，H≥2400㎜；烟气通流量：≥8000m³/h；</w:t>
            </w:r>
          </w:p>
          <w:p>
            <w:pPr>
              <w:pStyle w:val="null5"/>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除酸系统</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R≥800㎜，H≥2400㎜；烟气通流量：≥8000m³/h；</w:t>
            </w:r>
          </w:p>
          <w:p>
            <w:pPr>
              <w:pStyle w:val="null5"/>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液气分离系统</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R≥800㎜，H≥2400㎜；烟气通流量：≥8000m³/h；</w:t>
            </w:r>
          </w:p>
          <w:p>
            <w:pPr>
              <w:pStyle w:val="null5"/>
              <w:jc w:val="left"/>
            </w:pPr>
            <w:r>
              <w:rPr>
                <w:rFonts w:ascii="仿宋_GB2312" w:hAnsi="仿宋_GB2312" w:cs="仿宋_GB2312" w:eastAsia="仿宋_GB2312"/>
                <w:sz w:val="21"/>
              </w:rPr>
              <w:t>7、</w:t>
            </w:r>
            <w:r>
              <w:rPr>
                <w:rFonts w:ascii="仿宋_GB2312" w:hAnsi="仿宋_GB2312" w:cs="仿宋_GB2312" w:eastAsia="仿宋_GB2312"/>
                <w:sz w:val="21"/>
              </w:rPr>
              <w:t>湿式电除尘设备</w:t>
            </w:r>
            <w:r>
              <w:rPr>
                <w:rFonts w:ascii="仿宋_GB2312" w:hAnsi="仿宋_GB2312" w:cs="仿宋_GB2312" w:eastAsia="仿宋_GB2312"/>
                <w:sz w:val="21"/>
              </w:rPr>
              <w:t>1套</w:t>
            </w:r>
          </w:p>
          <w:p>
            <w:pPr>
              <w:pStyle w:val="null5"/>
              <w:jc w:val="left"/>
            </w:pPr>
            <w:r>
              <w:rPr>
                <w:rFonts w:ascii="仿宋_GB2312" w:hAnsi="仿宋_GB2312" w:cs="仿宋_GB2312" w:eastAsia="仿宋_GB2312"/>
                <w:sz w:val="21"/>
              </w:rPr>
              <w:t>尺寸：</w:t>
            </w:r>
            <w:r>
              <w:rPr>
                <w:rFonts w:ascii="仿宋_GB2312" w:hAnsi="仿宋_GB2312" w:cs="仿宋_GB2312" w:eastAsia="仿宋_GB2312"/>
                <w:sz w:val="21"/>
              </w:rPr>
              <w:t>W≥2</w:t>
            </w:r>
            <w:r>
              <w:rPr>
                <w:rFonts w:ascii="仿宋_GB2312" w:hAnsi="仿宋_GB2312" w:cs="仿宋_GB2312" w:eastAsia="仿宋_GB2312"/>
                <w:sz w:val="21"/>
              </w:rPr>
              <w:t>000㎜L≥2500H≥4000；处理烟气温度：≤60℃，烟气通流量：≥8000m³/h；</w:t>
            </w:r>
          </w:p>
          <w:p>
            <w:pPr>
              <w:pStyle w:val="null5"/>
              <w:jc w:val="left"/>
            </w:pPr>
            <w:r>
              <w:rPr>
                <w:rFonts w:ascii="仿宋_GB2312" w:hAnsi="仿宋_GB2312" w:cs="仿宋_GB2312" w:eastAsia="仿宋_GB2312"/>
                <w:sz w:val="21"/>
              </w:rPr>
              <w:t>8、</w:t>
            </w:r>
            <w:r>
              <w:rPr>
                <w:rFonts w:ascii="仿宋_GB2312" w:hAnsi="仿宋_GB2312" w:cs="仿宋_GB2312" w:eastAsia="仿宋_GB2312"/>
                <w:sz w:val="21"/>
              </w:rPr>
              <w:t>精滤净化系统设备</w:t>
            </w:r>
            <w:r>
              <w:rPr>
                <w:rFonts w:ascii="仿宋_GB2312" w:hAnsi="仿宋_GB2312" w:cs="仿宋_GB2312" w:eastAsia="仿宋_GB2312"/>
                <w:sz w:val="21"/>
              </w:rPr>
              <w:t>1套</w:t>
            </w:r>
          </w:p>
          <w:p>
            <w:pPr>
              <w:pStyle w:val="null5"/>
              <w:jc w:val="left"/>
            </w:pPr>
            <w:r>
              <w:rPr>
                <w:rFonts w:ascii="仿宋_GB2312" w:hAnsi="仿宋_GB2312" w:cs="仿宋_GB2312" w:eastAsia="仿宋_GB2312"/>
                <w:sz w:val="21"/>
              </w:rPr>
              <w:t>尺寸：</w:t>
            </w:r>
            <w:r>
              <w:rPr>
                <w:rFonts w:ascii="仿宋_GB2312" w:hAnsi="仿宋_GB2312" w:cs="仿宋_GB2312" w:eastAsia="仿宋_GB2312"/>
                <w:sz w:val="21"/>
              </w:rPr>
              <w:t>W≥1000㎜L≥1400㎜H≥1000㎜；烟气通流量：≥8000m³/h；</w:t>
            </w:r>
          </w:p>
          <w:p>
            <w:pPr>
              <w:pStyle w:val="null5"/>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温度监测系统</w:t>
            </w:r>
            <w:r>
              <w:rPr>
                <w:rFonts w:ascii="仿宋_GB2312" w:hAnsi="仿宋_GB2312" w:cs="仿宋_GB2312" w:eastAsia="仿宋_GB2312"/>
                <w:sz w:val="21"/>
                <w:color w:val="000000"/>
              </w:rPr>
              <w:t>1套</w:t>
            </w:r>
          </w:p>
          <w:p>
            <w:pPr>
              <w:pStyle w:val="null5"/>
              <w:jc w:val="left"/>
            </w:pPr>
            <w:r>
              <w:rPr>
                <w:rFonts w:ascii="仿宋_GB2312" w:hAnsi="仿宋_GB2312" w:cs="仿宋_GB2312" w:eastAsia="仿宋_GB2312"/>
                <w:sz w:val="21"/>
                <w:color w:val="000000"/>
              </w:rPr>
              <w:t>炉体，二燃室</w:t>
            </w:r>
            <w:r>
              <w:rPr>
                <w:rFonts w:ascii="仿宋_GB2312" w:hAnsi="仿宋_GB2312" w:cs="仿宋_GB2312" w:eastAsia="仿宋_GB2312"/>
                <w:sz w:val="21"/>
                <w:color w:val="000000"/>
              </w:rPr>
              <w:t>(＞850℃)，急冷系统(＜150℃)、湿式电除尘系统(≤60℃)，循环水池，出烟口；</w:t>
            </w:r>
          </w:p>
          <w:p>
            <w:pPr>
              <w:pStyle w:val="null5"/>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PLC控制系统设备1套</w:t>
            </w:r>
          </w:p>
          <w:p>
            <w:pPr>
              <w:pStyle w:val="null5"/>
              <w:jc w:val="left"/>
            </w:pPr>
            <w:r>
              <w:rPr>
                <w:rFonts w:ascii="仿宋_GB2312" w:hAnsi="仿宋_GB2312" w:cs="仿宋_GB2312" w:eastAsia="仿宋_GB2312"/>
                <w:sz w:val="21"/>
                <w:color w:val="000000"/>
              </w:rPr>
              <w:t>控制台尺寸：</w:t>
            </w:r>
            <w:r>
              <w:rPr>
                <w:rFonts w:ascii="仿宋_GB2312" w:hAnsi="仿宋_GB2312" w:cs="仿宋_GB2312" w:eastAsia="仿宋_GB2312"/>
                <w:sz w:val="21"/>
                <w:color w:val="000000"/>
              </w:rPr>
              <w:t>W≥700㎜L≥1000，H≥1600；总控功率：36.7KW；电压：380V。</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标的名称：生活垃圾高温焚烧设备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color w:val="333333"/>
                <w:shd w:fill="FFFFFF" w:val="clear"/>
              </w:rPr>
              <w:t>1、磁选系统</w:t>
            </w:r>
          </w:p>
          <w:p>
            <w:pPr>
              <w:pStyle w:val="null5"/>
              <w:jc w:val="both"/>
            </w:pPr>
            <w:r>
              <w:rPr>
                <w:rFonts w:ascii="仿宋_GB2312" w:hAnsi="仿宋_GB2312" w:cs="仿宋_GB2312" w:eastAsia="仿宋_GB2312"/>
                <w:sz w:val="24"/>
                <w:color w:val="333333"/>
                <w:shd w:fill="FFFFFF" w:val="clear"/>
              </w:rPr>
              <w:t>类型：悬吊式除铁器</w:t>
            </w:r>
          </w:p>
          <w:p>
            <w:pPr>
              <w:pStyle w:val="null5"/>
              <w:jc w:val="both"/>
            </w:pPr>
            <w:r>
              <w:rPr>
                <w:rFonts w:ascii="仿宋_GB2312" w:hAnsi="仿宋_GB2312" w:cs="仿宋_GB2312" w:eastAsia="仿宋_GB2312"/>
                <w:sz w:val="24"/>
                <w:color w:val="333333"/>
                <w:shd w:fill="FFFFFF" w:val="clear"/>
              </w:rPr>
              <w:t>外形尺寸：</w:t>
            </w:r>
            <w:r>
              <w:rPr>
                <w:rFonts w:ascii="仿宋_GB2312" w:hAnsi="仿宋_GB2312" w:cs="仿宋_GB2312" w:eastAsia="仿宋_GB2312"/>
                <w:sz w:val="24"/>
                <w:color w:val="333333"/>
                <w:shd w:fill="FFFFFF" w:val="clear"/>
              </w:rPr>
              <w:t>500*300*200 mm（±50mm）；磁场强度：≥60MT；数量：1套</w:t>
            </w:r>
          </w:p>
          <w:p>
            <w:pPr>
              <w:pStyle w:val="null5"/>
              <w:jc w:val="both"/>
            </w:pPr>
            <w:r>
              <w:rPr>
                <w:rFonts w:ascii="仿宋_GB2312" w:hAnsi="仿宋_GB2312" w:cs="仿宋_GB2312" w:eastAsia="仿宋_GB2312"/>
                <w:sz w:val="24"/>
                <w:b/>
                <w:color w:val="333333"/>
                <w:shd w:fill="FFFFFF" w:val="clear"/>
              </w:rPr>
              <w:t>2、输送系统</w:t>
            </w:r>
          </w:p>
          <w:p>
            <w:pPr>
              <w:pStyle w:val="null5"/>
              <w:jc w:val="both"/>
            </w:pPr>
            <w:r>
              <w:rPr>
                <w:rFonts w:ascii="仿宋_GB2312" w:hAnsi="仿宋_GB2312" w:cs="仿宋_GB2312" w:eastAsia="仿宋_GB2312"/>
                <w:sz w:val="24"/>
                <w:color w:val="333333"/>
                <w:shd w:fill="FFFFFF" w:val="clear"/>
              </w:rPr>
              <w:t>类型：皮带输送机</w:t>
            </w:r>
          </w:p>
          <w:p>
            <w:pPr>
              <w:pStyle w:val="null5"/>
              <w:jc w:val="both"/>
            </w:pPr>
            <w:r>
              <w:rPr>
                <w:rFonts w:ascii="仿宋_GB2312" w:hAnsi="仿宋_GB2312" w:cs="仿宋_GB2312" w:eastAsia="仿宋_GB2312"/>
                <w:sz w:val="24"/>
                <w:color w:val="333333"/>
                <w:shd w:fill="FFFFFF" w:val="clear"/>
              </w:rPr>
              <w:t>材质：橡胶；规格：</w:t>
            </w:r>
            <w:r>
              <w:rPr>
                <w:rFonts w:ascii="仿宋_GB2312" w:hAnsi="仿宋_GB2312" w:cs="仿宋_GB2312" w:eastAsia="仿宋_GB2312"/>
                <w:sz w:val="24"/>
                <w:color w:val="333333"/>
                <w:shd w:fill="FFFFFF" w:val="clear"/>
              </w:rPr>
              <w:t>B600mm（±50mm）</w:t>
            </w:r>
          </w:p>
          <w:p>
            <w:pPr>
              <w:pStyle w:val="null5"/>
              <w:jc w:val="both"/>
            </w:pPr>
            <w:r>
              <w:rPr>
                <w:rFonts w:ascii="仿宋_GB2312" w:hAnsi="仿宋_GB2312" w:cs="仿宋_GB2312" w:eastAsia="仿宋_GB2312"/>
                <w:sz w:val="24"/>
                <w:b/>
                <w:color w:val="333333"/>
                <w:shd w:fill="FFFFFF" w:val="clear"/>
              </w:rPr>
              <w:t>3、热解系统</w:t>
            </w:r>
          </w:p>
          <w:p>
            <w:pPr>
              <w:pStyle w:val="null5"/>
              <w:jc w:val="both"/>
            </w:pPr>
            <w:r>
              <w:rPr>
                <w:rFonts w:ascii="仿宋_GB2312" w:hAnsi="仿宋_GB2312" w:cs="仿宋_GB2312" w:eastAsia="仿宋_GB2312"/>
                <w:sz w:val="24"/>
                <w:color w:val="333333"/>
                <w:shd w:fill="FFFFFF" w:val="clear"/>
              </w:rPr>
              <w:t>类型：无轴双螺旋</w:t>
            </w:r>
          </w:p>
          <w:p>
            <w:pPr>
              <w:pStyle w:val="null5"/>
              <w:jc w:val="both"/>
            </w:pPr>
            <w:r>
              <w:rPr>
                <w:rFonts w:ascii="仿宋_GB2312" w:hAnsi="仿宋_GB2312" w:cs="仿宋_GB2312" w:eastAsia="仿宋_GB2312"/>
                <w:sz w:val="24"/>
                <w:color w:val="333333"/>
                <w:shd w:fill="FFFFFF" w:val="clear"/>
              </w:rPr>
              <w:t>长度：</w:t>
            </w:r>
            <w:r>
              <w:rPr>
                <w:rFonts w:ascii="仿宋_GB2312" w:hAnsi="仿宋_GB2312" w:cs="仿宋_GB2312" w:eastAsia="仿宋_GB2312"/>
                <w:sz w:val="24"/>
                <w:color w:val="333333"/>
                <w:shd w:fill="FFFFFF" w:val="clear"/>
              </w:rPr>
              <w:t>3000mm+3840mm（±100mm）；材质：耐磨锰钢；数量：1套；功率：≥8 kW</w:t>
            </w:r>
          </w:p>
          <w:p>
            <w:pPr>
              <w:pStyle w:val="null5"/>
              <w:jc w:val="both"/>
            </w:pPr>
            <w:r>
              <w:rPr>
                <w:rFonts w:ascii="仿宋_GB2312" w:hAnsi="仿宋_GB2312" w:cs="仿宋_GB2312" w:eastAsia="仿宋_GB2312"/>
                <w:sz w:val="24"/>
                <w:b/>
                <w:color w:val="333333"/>
                <w:shd w:fill="FFFFFF" w:val="clear"/>
              </w:rPr>
              <w:t>4、脱酸系统</w:t>
            </w:r>
          </w:p>
          <w:p>
            <w:pPr>
              <w:pStyle w:val="null5"/>
              <w:jc w:val="both"/>
            </w:pPr>
            <w:r>
              <w:rPr>
                <w:rFonts w:ascii="仿宋_GB2312" w:hAnsi="仿宋_GB2312" w:cs="仿宋_GB2312" w:eastAsia="仿宋_GB2312"/>
                <w:sz w:val="24"/>
                <w:color w:val="333333"/>
                <w:shd w:fill="FFFFFF" w:val="clear"/>
              </w:rPr>
              <w:t>类型：填料塔</w:t>
            </w:r>
          </w:p>
          <w:p>
            <w:pPr>
              <w:pStyle w:val="null5"/>
              <w:jc w:val="both"/>
            </w:pPr>
            <w:r>
              <w:rPr>
                <w:rFonts w:ascii="仿宋_GB2312" w:hAnsi="仿宋_GB2312" w:cs="仿宋_GB2312" w:eastAsia="仿宋_GB2312"/>
                <w:sz w:val="24"/>
                <w:color w:val="333333"/>
                <w:shd w:fill="FFFFFF" w:val="clear"/>
              </w:rPr>
              <w:t>材质：碳钢</w:t>
            </w:r>
            <w:r>
              <w:rPr>
                <w:rFonts w:ascii="仿宋_GB2312" w:hAnsi="仿宋_GB2312" w:cs="仿宋_GB2312" w:eastAsia="仿宋_GB2312"/>
                <w:sz w:val="24"/>
                <w:color w:val="333333"/>
                <w:shd w:fill="FFFFFF" w:val="clear"/>
              </w:rPr>
              <w:t>+内防腐；规格：Φ1212mm*3328mm（±100mm）；附件：可视化视窗；数量：1套</w:t>
            </w:r>
          </w:p>
          <w:p>
            <w:pPr>
              <w:pStyle w:val="null5"/>
              <w:jc w:val="both"/>
            </w:pPr>
            <w:r>
              <w:rPr>
                <w:rFonts w:ascii="仿宋_GB2312" w:hAnsi="仿宋_GB2312" w:cs="仿宋_GB2312" w:eastAsia="仿宋_GB2312"/>
                <w:sz w:val="24"/>
                <w:b/>
                <w:color w:val="333333"/>
                <w:shd w:fill="FFFFFF" w:val="clear"/>
              </w:rPr>
              <w:t>5、焚烧炉</w:t>
            </w:r>
          </w:p>
          <w:p>
            <w:pPr>
              <w:pStyle w:val="null5"/>
              <w:jc w:val="both"/>
            </w:pPr>
            <w:r>
              <w:rPr>
                <w:rFonts w:ascii="仿宋_GB2312" w:hAnsi="仿宋_GB2312" w:cs="仿宋_GB2312" w:eastAsia="仿宋_GB2312"/>
                <w:sz w:val="24"/>
                <w:color w:val="333333"/>
                <w:shd w:fill="FFFFFF" w:val="clear"/>
              </w:rPr>
              <w:t>组成：炉体钢架</w:t>
            </w:r>
            <w:r>
              <w:rPr>
                <w:rFonts w:ascii="仿宋_GB2312" w:hAnsi="仿宋_GB2312" w:cs="仿宋_GB2312" w:eastAsia="仿宋_GB2312"/>
                <w:sz w:val="24"/>
                <w:color w:val="333333"/>
                <w:shd w:fill="FFFFFF" w:val="clear"/>
              </w:rPr>
              <w:t>+耐火保温炉墙+炉排等结构</w:t>
            </w:r>
          </w:p>
          <w:p>
            <w:pPr>
              <w:pStyle w:val="null5"/>
              <w:jc w:val="both"/>
            </w:pPr>
            <w:r>
              <w:rPr>
                <w:rFonts w:ascii="仿宋_GB2312" w:hAnsi="仿宋_GB2312" w:cs="仿宋_GB2312" w:eastAsia="仿宋_GB2312"/>
                <w:sz w:val="24"/>
                <w:color w:val="333333"/>
                <w:shd w:fill="FFFFFF" w:val="clear"/>
              </w:rPr>
              <w:t>外形尺寸：</w:t>
            </w:r>
            <w:r>
              <w:rPr>
                <w:rFonts w:ascii="仿宋_GB2312" w:hAnsi="仿宋_GB2312" w:cs="仿宋_GB2312" w:eastAsia="仿宋_GB2312"/>
                <w:sz w:val="24"/>
                <w:color w:val="333333"/>
                <w:shd w:fill="FFFFFF" w:val="clear"/>
              </w:rPr>
              <w:t>10500*2500*4885mm（±100mm）</w:t>
            </w:r>
            <w:r>
              <w:rPr>
                <w:rFonts w:ascii="仿宋_GB2312" w:hAnsi="仿宋_GB2312" w:cs="仿宋_GB2312" w:eastAsia="仿宋_GB2312"/>
                <w:sz w:val="21"/>
                <w:color w:val="333333"/>
                <w:shd w:fill="FFFFFF" w:val="clear"/>
              </w:rPr>
              <w:t>；日处理生活垃圾：9吨</w:t>
            </w:r>
            <w:r>
              <w:rPr>
                <w:rFonts w:ascii="仿宋_GB2312" w:hAnsi="仿宋_GB2312" w:cs="仿宋_GB2312" w:eastAsia="仿宋_GB2312"/>
                <w:sz w:val="21"/>
                <w:color w:val="333333"/>
                <w:shd w:fill="FFFFFF" w:val="clear"/>
              </w:rPr>
              <w:t>；</w:t>
            </w:r>
            <w:r>
              <w:rPr>
                <w:rFonts w:ascii="仿宋_GB2312" w:hAnsi="仿宋_GB2312" w:cs="仿宋_GB2312" w:eastAsia="仿宋_GB2312"/>
                <w:sz w:val="24"/>
                <w:color w:val="333333"/>
                <w:shd w:fill="FFFFFF" w:val="clear"/>
              </w:rPr>
              <w:t>数量：</w:t>
            </w:r>
            <w:r>
              <w:rPr>
                <w:rFonts w:ascii="仿宋_GB2312" w:hAnsi="仿宋_GB2312" w:cs="仿宋_GB2312" w:eastAsia="仿宋_GB2312"/>
                <w:sz w:val="24"/>
                <w:color w:val="333333"/>
                <w:shd w:fill="FFFFFF" w:val="clear"/>
              </w:rPr>
              <w:t>1套；功率：≥11 kW</w:t>
            </w:r>
          </w:p>
          <w:p>
            <w:pPr>
              <w:pStyle w:val="null5"/>
              <w:jc w:val="both"/>
            </w:pPr>
            <w:r>
              <w:rPr>
                <w:rFonts w:ascii="仿宋_GB2312" w:hAnsi="仿宋_GB2312" w:cs="仿宋_GB2312" w:eastAsia="仿宋_GB2312"/>
                <w:sz w:val="24"/>
                <w:b/>
                <w:color w:val="333333"/>
                <w:shd w:fill="FFFFFF" w:val="clear"/>
              </w:rPr>
              <w:t>6、水冷换热系统</w:t>
            </w:r>
          </w:p>
          <w:p>
            <w:pPr>
              <w:pStyle w:val="null5"/>
              <w:jc w:val="both"/>
            </w:pPr>
            <w:r>
              <w:rPr>
                <w:rFonts w:ascii="仿宋_GB2312" w:hAnsi="仿宋_GB2312" w:cs="仿宋_GB2312" w:eastAsia="仿宋_GB2312"/>
                <w:sz w:val="24"/>
                <w:color w:val="333333"/>
                <w:shd w:fill="FFFFFF" w:val="clear"/>
              </w:rPr>
              <w:t>类型：列管式换热器</w:t>
            </w:r>
          </w:p>
          <w:p>
            <w:pPr>
              <w:pStyle w:val="null5"/>
              <w:jc w:val="both"/>
            </w:pPr>
            <w:r>
              <w:rPr>
                <w:rFonts w:ascii="仿宋_GB2312" w:hAnsi="仿宋_GB2312" w:cs="仿宋_GB2312" w:eastAsia="仿宋_GB2312"/>
                <w:sz w:val="24"/>
                <w:color w:val="333333"/>
                <w:shd w:fill="FFFFFF" w:val="clear"/>
              </w:rPr>
              <w:t>换热面积：</w:t>
            </w:r>
            <w:r>
              <w:rPr>
                <w:rFonts w:ascii="仿宋_GB2312" w:hAnsi="仿宋_GB2312" w:cs="仿宋_GB2312" w:eastAsia="仿宋_GB2312"/>
                <w:sz w:val="24"/>
                <w:color w:val="333333"/>
                <w:shd w:fill="FFFFFF" w:val="clear"/>
              </w:rPr>
              <w:t>12/45/54m2（±5m2）；</w:t>
            </w:r>
          </w:p>
          <w:p>
            <w:pPr>
              <w:pStyle w:val="null5"/>
              <w:jc w:val="both"/>
            </w:pPr>
            <w:r>
              <w:rPr>
                <w:rFonts w:ascii="仿宋_GB2312" w:hAnsi="仿宋_GB2312" w:cs="仿宋_GB2312" w:eastAsia="仿宋_GB2312"/>
                <w:sz w:val="24"/>
                <w:b/>
                <w:color w:val="333333"/>
                <w:shd w:fill="FFFFFF" w:val="clear"/>
              </w:rPr>
              <w:t>7、喷淋系统</w:t>
            </w:r>
          </w:p>
          <w:p>
            <w:pPr>
              <w:pStyle w:val="null5"/>
              <w:jc w:val="both"/>
            </w:pPr>
            <w:r>
              <w:rPr>
                <w:rFonts w:ascii="仿宋_GB2312" w:hAnsi="仿宋_GB2312" w:cs="仿宋_GB2312" w:eastAsia="仿宋_GB2312"/>
                <w:sz w:val="24"/>
                <w:color w:val="333333"/>
                <w:shd w:fill="FFFFFF" w:val="clear"/>
              </w:rPr>
              <w:t>类型：填料塔</w:t>
            </w:r>
          </w:p>
          <w:p>
            <w:pPr>
              <w:pStyle w:val="null5"/>
              <w:jc w:val="both"/>
            </w:pPr>
            <w:r>
              <w:rPr>
                <w:rFonts w:ascii="仿宋_GB2312" w:hAnsi="仿宋_GB2312" w:cs="仿宋_GB2312" w:eastAsia="仿宋_GB2312"/>
                <w:sz w:val="24"/>
                <w:color w:val="333333"/>
                <w:shd w:fill="FFFFFF" w:val="clear"/>
              </w:rPr>
              <w:t>材质：碳钢</w:t>
            </w:r>
            <w:r>
              <w:rPr>
                <w:rFonts w:ascii="仿宋_GB2312" w:hAnsi="仿宋_GB2312" w:cs="仿宋_GB2312" w:eastAsia="仿宋_GB2312"/>
                <w:sz w:val="24"/>
                <w:color w:val="333333"/>
                <w:shd w:fill="FFFFFF" w:val="clear"/>
              </w:rPr>
              <w:t>+内防腐；规格：Φ1800mm*5196mm（±100mm）；附件：可视化视窗；数量：1套</w:t>
            </w:r>
          </w:p>
          <w:p>
            <w:pPr>
              <w:pStyle w:val="null5"/>
              <w:jc w:val="both"/>
            </w:pPr>
            <w:r>
              <w:rPr>
                <w:rFonts w:ascii="仿宋_GB2312" w:hAnsi="仿宋_GB2312" w:cs="仿宋_GB2312" w:eastAsia="仿宋_GB2312"/>
                <w:sz w:val="24"/>
                <w:b/>
                <w:color w:val="333333"/>
                <w:shd w:fill="FFFFFF" w:val="clear"/>
              </w:rPr>
              <w:t>8、电除尘系统</w:t>
            </w:r>
          </w:p>
          <w:p>
            <w:pPr>
              <w:pStyle w:val="null5"/>
              <w:jc w:val="both"/>
            </w:pPr>
            <w:r>
              <w:rPr>
                <w:rFonts w:ascii="仿宋_GB2312" w:hAnsi="仿宋_GB2312" w:cs="仿宋_GB2312" w:eastAsia="仿宋_GB2312"/>
                <w:sz w:val="24"/>
                <w:color w:val="333333"/>
                <w:shd w:fill="FFFFFF" w:val="clear"/>
              </w:rPr>
              <w:t>类型：</w:t>
            </w:r>
            <w:r>
              <w:rPr>
                <w:rFonts w:ascii="仿宋_GB2312" w:hAnsi="仿宋_GB2312" w:cs="仿宋_GB2312" w:eastAsia="仿宋_GB2312"/>
                <w:sz w:val="24"/>
                <w:color w:val="333333"/>
                <w:shd w:fill="FFFFFF" w:val="clear"/>
              </w:rPr>
              <w:t>WESP湿式电除尘</w:t>
            </w:r>
          </w:p>
          <w:p>
            <w:pPr>
              <w:pStyle w:val="null5"/>
              <w:jc w:val="both"/>
            </w:pPr>
            <w:r>
              <w:rPr>
                <w:rFonts w:ascii="仿宋_GB2312" w:hAnsi="仿宋_GB2312" w:cs="仿宋_GB2312" w:eastAsia="仿宋_GB2312"/>
                <w:sz w:val="24"/>
                <w:color w:val="333333"/>
                <w:shd w:fill="FFFFFF" w:val="clear"/>
              </w:rPr>
              <w:t>材质：</w:t>
            </w:r>
            <w:r>
              <w:rPr>
                <w:rFonts w:ascii="仿宋_GB2312" w:hAnsi="仿宋_GB2312" w:cs="仿宋_GB2312" w:eastAsia="仿宋_GB2312"/>
                <w:sz w:val="24"/>
                <w:color w:val="333333"/>
                <w:shd w:fill="FFFFFF" w:val="clear"/>
              </w:rPr>
              <w:t>2205不锈钢+碳钢+内防腐；规格：Φ2116mm*12822mm（±100mm）；功率：≥11.25 kW；数量：1套</w:t>
            </w:r>
          </w:p>
          <w:p>
            <w:pPr>
              <w:pStyle w:val="null5"/>
              <w:jc w:val="both"/>
            </w:pPr>
            <w:r>
              <w:rPr>
                <w:rFonts w:ascii="仿宋_GB2312" w:hAnsi="仿宋_GB2312" w:cs="仿宋_GB2312" w:eastAsia="仿宋_GB2312"/>
                <w:sz w:val="24"/>
                <w:b/>
                <w:color w:val="333333"/>
                <w:shd w:fill="FFFFFF" w:val="clear"/>
              </w:rPr>
              <w:t>9、监测监控系统</w:t>
            </w:r>
          </w:p>
          <w:p>
            <w:pPr>
              <w:pStyle w:val="null5"/>
              <w:jc w:val="both"/>
            </w:pPr>
            <w:r>
              <w:rPr>
                <w:rFonts w:ascii="仿宋_GB2312" w:hAnsi="仿宋_GB2312" w:cs="仿宋_GB2312" w:eastAsia="仿宋_GB2312"/>
                <w:sz w:val="24"/>
                <w:color w:val="333333"/>
                <w:shd w:fill="FFFFFF" w:val="clear"/>
              </w:rPr>
              <w:t>规格、性能：</w:t>
            </w:r>
            <w:r>
              <w:rPr>
                <w:rFonts w:ascii="仿宋_GB2312" w:hAnsi="仿宋_GB2312" w:cs="仿宋_GB2312" w:eastAsia="仿宋_GB2312"/>
                <w:sz w:val="24"/>
                <w:color w:val="333333"/>
                <w:shd w:fill="FFFFFF" w:val="clear"/>
              </w:rPr>
              <w:t>CO/O2等仪表传感器、数据采集处理与反馈；数量：1套</w:t>
            </w:r>
          </w:p>
          <w:p>
            <w:pPr>
              <w:pStyle w:val="null5"/>
              <w:jc w:val="both"/>
            </w:pPr>
            <w:r>
              <w:rPr>
                <w:rFonts w:ascii="仿宋_GB2312" w:hAnsi="仿宋_GB2312" w:cs="仿宋_GB2312" w:eastAsia="仿宋_GB2312"/>
                <w:sz w:val="24"/>
                <w:b/>
                <w:color w:val="333333"/>
                <w:shd w:fill="FFFFFF" w:val="clear"/>
              </w:rPr>
              <w:t>10、电气控制系统</w:t>
            </w:r>
          </w:p>
          <w:p>
            <w:pPr>
              <w:pStyle w:val="null5"/>
              <w:jc w:val="both"/>
            </w:pPr>
            <w:r>
              <w:rPr>
                <w:rFonts w:ascii="仿宋_GB2312" w:hAnsi="仿宋_GB2312" w:cs="仿宋_GB2312" w:eastAsia="仿宋_GB2312"/>
                <w:sz w:val="24"/>
                <w:color w:val="333333"/>
                <w:shd w:fill="FFFFFF" w:val="clear"/>
              </w:rPr>
              <w:t>规格、性能：供电</w:t>
            </w:r>
            <w:r>
              <w:rPr>
                <w:rFonts w:ascii="仿宋_GB2312" w:hAnsi="仿宋_GB2312" w:cs="仿宋_GB2312" w:eastAsia="仿宋_GB2312"/>
                <w:sz w:val="24"/>
                <w:color w:val="333333"/>
                <w:shd w:fill="FFFFFF" w:val="clear"/>
              </w:rPr>
              <w:t>/变频/PLC/触摸屏等；数量：1套</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标的名称：装载机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整机质量：</w:t>
            </w:r>
            <w:r>
              <w:rPr>
                <w:rFonts w:ascii="仿宋_GB2312" w:hAnsi="仿宋_GB2312" w:cs="仿宋_GB2312" w:eastAsia="仿宋_GB2312"/>
                <w:sz w:val="24"/>
              </w:rPr>
              <w:t>≥</w:t>
            </w:r>
            <w:r>
              <w:rPr>
                <w:rFonts w:ascii="仿宋_GB2312" w:hAnsi="仿宋_GB2312" w:cs="仿宋_GB2312" w:eastAsia="仿宋_GB2312"/>
                <w:sz w:val="24"/>
              </w:rPr>
              <w:t>8040kg</w:t>
            </w:r>
            <w:r>
              <w:rPr>
                <w:rFonts w:ascii="仿宋_GB2312" w:hAnsi="仿宋_GB2312" w:cs="仿宋_GB2312" w:eastAsia="仿宋_GB2312"/>
                <w:sz w:val="24"/>
              </w:rPr>
              <w:t>；额定载质量：≥</w:t>
            </w:r>
            <w:r>
              <w:rPr>
                <w:rFonts w:ascii="仿宋_GB2312" w:hAnsi="仿宋_GB2312" w:cs="仿宋_GB2312" w:eastAsia="仿宋_GB2312"/>
                <w:sz w:val="24"/>
              </w:rPr>
              <w:t>3000kg</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额定功率：</w:t>
            </w:r>
            <w:r>
              <w:rPr>
                <w:rFonts w:ascii="仿宋_GB2312" w:hAnsi="仿宋_GB2312" w:cs="仿宋_GB2312" w:eastAsia="仿宋_GB2312"/>
                <w:sz w:val="24"/>
              </w:rPr>
              <w:t>≥</w:t>
            </w:r>
            <w:r>
              <w:rPr>
                <w:rFonts w:ascii="仿宋_GB2312" w:hAnsi="仿宋_GB2312" w:cs="仿宋_GB2312" w:eastAsia="仿宋_GB2312"/>
                <w:sz w:val="24"/>
              </w:rPr>
              <w:t>92kw</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铲斗容量：</w:t>
            </w:r>
            <w:r>
              <w:rPr>
                <w:rFonts w:ascii="仿宋_GB2312" w:hAnsi="仿宋_GB2312" w:cs="仿宋_GB2312" w:eastAsia="仿宋_GB2312"/>
                <w:sz w:val="24"/>
              </w:rPr>
              <w:t>≥</w:t>
            </w:r>
            <w:r>
              <w:rPr>
                <w:rFonts w:ascii="仿宋_GB2312" w:hAnsi="仿宋_GB2312" w:cs="仿宋_GB2312" w:eastAsia="仿宋_GB2312"/>
                <w:sz w:val="24"/>
              </w:rPr>
              <w:t>1.6m</w:t>
            </w:r>
            <w:r>
              <w:rPr>
                <w:rFonts w:ascii="仿宋_GB2312" w:hAnsi="仿宋_GB2312" w:cs="仿宋_GB2312" w:eastAsia="仿宋_GB2312"/>
                <w:sz w:val="24"/>
              </w:rPr>
              <w:t>³；</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铲斗宽度：</w:t>
            </w:r>
            <w:r>
              <w:rPr>
                <w:rFonts w:ascii="仿宋_GB2312" w:hAnsi="仿宋_GB2312" w:cs="仿宋_GB2312" w:eastAsia="仿宋_GB2312"/>
                <w:sz w:val="24"/>
              </w:rPr>
              <w:t>≥</w:t>
            </w:r>
            <w:r>
              <w:rPr>
                <w:rFonts w:ascii="仿宋_GB2312" w:hAnsi="仿宋_GB2312" w:cs="仿宋_GB2312" w:eastAsia="仿宋_GB2312"/>
                <w:sz w:val="24"/>
              </w:rPr>
              <w:t>2.5m</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卸载高度：</w:t>
            </w:r>
            <w:r>
              <w:rPr>
                <w:rFonts w:ascii="仿宋_GB2312" w:hAnsi="仿宋_GB2312" w:cs="仿宋_GB2312" w:eastAsia="仿宋_GB2312"/>
                <w:sz w:val="24"/>
              </w:rPr>
              <w:t>≥</w:t>
            </w:r>
            <w:r>
              <w:rPr>
                <w:rFonts w:ascii="仿宋_GB2312" w:hAnsi="仿宋_GB2312" w:cs="仿宋_GB2312" w:eastAsia="仿宋_GB2312"/>
                <w:sz w:val="24"/>
              </w:rPr>
              <w:t>3600mm</w:t>
            </w:r>
            <w:r>
              <w:rPr>
                <w:rFonts w:ascii="仿宋_GB2312" w:hAnsi="仿宋_GB2312" w:cs="仿宋_GB2312" w:eastAsia="仿宋_GB2312"/>
                <w:sz w:val="24"/>
              </w:rPr>
              <w:t>；卸载距离：≥</w:t>
            </w:r>
            <w:r>
              <w:rPr>
                <w:rFonts w:ascii="仿宋_GB2312" w:hAnsi="仿宋_GB2312" w:cs="仿宋_GB2312" w:eastAsia="仿宋_GB2312"/>
                <w:sz w:val="24"/>
              </w:rPr>
              <w:t>950mm</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最小转弯半径：</w:t>
            </w:r>
            <w:r>
              <w:rPr>
                <w:rFonts w:ascii="仿宋_GB2312" w:hAnsi="仿宋_GB2312" w:cs="仿宋_GB2312" w:eastAsia="仿宋_GB2312"/>
                <w:sz w:val="24"/>
              </w:rPr>
              <w:t>≤</w:t>
            </w:r>
            <w:r>
              <w:rPr>
                <w:rFonts w:ascii="仿宋_GB2312" w:hAnsi="仿宋_GB2312" w:cs="仿宋_GB2312" w:eastAsia="仿宋_GB2312"/>
                <w:sz w:val="24"/>
              </w:rPr>
              <w:t>3400mm</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整机长度：</w:t>
            </w:r>
            <w:r>
              <w:rPr>
                <w:rFonts w:ascii="仿宋_GB2312" w:hAnsi="仿宋_GB2312" w:cs="仿宋_GB2312" w:eastAsia="仿宋_GB2312"/>
                <w:sz w:val="24"/>
              </w:rPr>
              <w:t>≥</w:t>
            </w:r>
            <w:r>
              <w:rPr>
                <w:rFonts w:ascii="仿宋_GB2312" w:hAnsi="仿宋_GB2312" w:cs="仿宋_GB2312" w:eastAsia="仿宋_GB2312"/>
                <w:sz w:val="24"/>
              </w:rPr>
              <w:t>7650mm</w:t>
            </w:r>
            <w:r>
              <w:rPr>
                <w:rFonts w:ascii="仿宋_GB2312" w:hAnsi="仿宋_GB2312" w:cs="仿宋_GB2312" w:eastAsia="仿宋_GB2312"/>
                <w:sz w:val="24"/>
              </w:rPr>
              <w:t>；整机高度：≥</w:t>
            </w:r>
            <w:r>
              <w:rPr>
                <w:rFonts w:ascii="仿宋_GB2312" w:hAnsi="仿宋_GB2312" w:cs="仿宋_GB2312" w:eastAsia="仿宋_GB2312"/>
                <w:sz w:val="24"/>
              </w:rPr>
              <w:t>3240mm</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轴距：</w:t>
            </w:r>
            <w:r>
              <w:rPr>
                <w:rFonts w:ascii="仿宋_GB2312" w:hAnsi="仿宋_GB2312" w:cs="仿宋_GB2312" w:eastAsia="仿宋_GB2312"/>
                <w:sz w:val="24"/>
              </w:rPr>
              <w:t>≥</w:t>
            </w:r>
            <w:r>
              <w:rPr>
                <w:rFonts w:ascii="仿宋_GB2312" w:hAnsi="仿宋_GB2312" w:cs="仿宋_GB2312" w:eastAsia="仿宋_GB2312"/>
                <w:sz w:val="24"/>
              </w:rPr>
              <w:t>2770mm</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变速箱形式：分体变矩器</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轮胎规格：</w:t>
            </w:r>
            <w:r>
              <w:rPr>
                <w:rFonts w:ascii="仿宋_GB2312" w:hAnsi="仿宋_GB2312" w:cs="仿宋_GB2312" w:eastAsia="仿宋_GB2312"/>
                <w:sz w:val="24"/>
              </w:rPr>
              <w:t>17.5-25</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标的名称：3m³车厢可卸式垃圾车（钩臂车）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整车尺寸：</w:t>
            </w:r>
            <w:r>
              <w:rPr>
                <w:rFonts w:ascii="仿宋_GB2312" w:hAnsi="仿宋_GB2312" w:cs="仿宋_GB2312" w:eastAsia="仿宋_GB2312"/>
                <w:sz w:val="24"/>
              </w:rPr>
              <w:t>≥</w:t>
            </w:r>
            <w:r>
              <w:rPr>
                <w:rFonts w:ascii="仿宋_GB2312" w:hAnsi="仿宋_GB2312" w:cs="仿宋_GB2312" w:eastAsia="仿宋_GB2312"/>
                <w:sz w:val="24"/>
              </w:rPr>
              <w:t>4600*1810*2080mm</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发动机规格：国六、柴油</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70KW</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总质量：</w:t>
            </w:r>
            <w:r>
              <w:rPr>
                <w:rFonts w:ascii="仿宋_GB2312" w:hAnsi="仿宋_GB2312" w:cs="仿宋_GB2312" w:eastAsia="仿宋_GB2312"/>
                <w:sz w:val="24"/>
              </w:rPr>
              <w:t>≥</w:t>
            </w:r>
            <w:r>
              <w:rPr>
                <w:rFonts w:ascii="仿宋_GB2312" w:hAnsi="仿宋_GB2312" w:cs="仿宋_GB2312" w:eastAsia="仿宋_GB2312"/>
                <w:sz w:val="24"/>
              </w:rPr>
              <w:t>4495kg</w:t>
            </w:r>
            <w:r>
              <w:rPr>
                <w:rFonts w:ascii="仿宋_GB2312" w:hAnsi="仿宋_GB2312" w:cs="仿宋_GB2312" w:eastAsia="仿宋_GB2312"/>
                <w:sz w:val="24"/>
              </w:rPr>
              <w:t>；整备质量：≥</w:t>
            </w:r>
            <w:r>
              <w:rPr>
                <w:rFonts w:ascii="仿宋_GB2312" w:hAnsi="仿宋_GB2312" w:cs="仿宋_GB2312" w:eastAsia="仿宋_GB2312"/>
                <w:sz w:val="24"/>
              </w:rPr>
              <w:t>2000kg</w:t>
            </w:r>
            <w:r>
              <w:rPr>
                <w:rFonts w:ascii="仿宋_GB2312" w:hAnsi="仿宋_GB2312" w:cs="仿宋_GB2312" w:eastAsia="仿宋_GB2312"/>
                <w:sz w:val="24"/>
              </w:rPr>
              <w:t>；额定载质量：≥</w:t>
            </w:r>
            <w:r>
              <w:rPr>
                <w:rFonts w:ascii="仿宋_GB2312" w:hAnsi="仿宋_GB2312" w:cs="仿宋_GB2312" w:eastAsia="仿宋_GB2312"/>
                <w:sz w:val="24"/>
              </w:rPr>
              <w:t>2360kg</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前悬</w:t>
            </w:r>
            <w:r>
              <w:rPr>
                <w:rFonts w:ascii="仿宋_GB2312" w:hAnsi="仿宋_GB2312" w:cs="仿宋_GB2312" w:eastAsia="仿宋_GB2312"/>
                <w:sz w:val="24"/>
              </w:rPr>
              <w:t>/</w:t>
            </w:r>
            <w:r>
              <w:rPr>
                <w:rFonts w:ascii="仿宋_GB2312" w:hAnsi="仿宋_GB2312" w:cs="仿宋_GB2312" w:eastAsia="仿宋_GB2312"/>
                <w:sz w:val="24"/>
              </w:rPr>
              <w:t>后悬：≥</w:t>
            </w:r>
            <w:r>
              <w:rPr>
                <w:rFonts w:ascii="仿宋_GB2312" w:hAnsi="仿宋_GB2312" w:cs="仿宋_GB2312" w:eastAsia="仿宋_GB2312"/>
                <w:sz w:val="24"/>
              </w:rPr>
              <w:t>1115/885</w:t>
            </w:r>
            <w:r>
              <w:rPr>
                <w:rFonts w:ascii="仿宋_GB2312" w:hAnsi="仿宋_GB2312" w:cs="仿宋_GB2312" w:eastAsia="仿宋_GB2312"/>
                <w:sz w:val="24"/>
              </w:rPr>
              <w:t>mm</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轴距：</w:t>
            </w:r>
            <w:r>
              <w:rPr>
                <w:rFonts w:ascii="仿宋_GB2312" w:hAnsi="仿宋_GB2312" w:cs="仿宋_GB2312" w:eastAsia="仿宋_GB2312"/>
                <w:sz w:val="24"/>
              </w:rPr>
              <w:t>≤</w:t>
            </w:r>
            <w:r>
              <w:rPr>
                <w:rFonts w:ascii="仿宋_GB2312" w:hAnsi="仿宋_GB2312" w:cs="仿宋_GB2312" w:eastAsia="仿宋_GB2312"/>
                <w:sz w:val="24"/>
              </w:rPr>
              <w:t>2600mm</w:t>
            </w:r>
            <w:r>
              <w:rPr>
                <w:rFonts w:ascii="仿宋_GB2312" w:hAnsi="仿宋_GB2312" w:cs="仿宋_GB2312" w:eastAsia="仿宋_GB2312"/>
                <w:sz w:val="24"/>
              </w:rPr>
              <w:t>；接近角</w:t>
            </w:r>
            <w:r>
              <w:rPr>
                <w:rFonts w:ascii="仿宋_GB2312" w:hAnsi="仿宋_GB2312" w:cs="仿宋_GB2312" w:eastAsia="仿宋_GB2312"/>
                <w:sz w:val="24"/>
              </w:rPr>
              <w:t>/</w:t>
            </w:r>
            <w:r>
              <w:rPr>
                <w:rFonts w:ascii="仿宋_GB2312" w:hAnsi="仿宋_GB2312" w:cs="仿宋_GB2312" w:eastAsia="仿宋_GB2312"/>
                <w:sz w:val="24"/>
              </w:rPr>
              <w:t>离去角：≥</w:t>
            </w:r>
            <w:r>
              <w:rPr>
                <w:rFonts w:ascii="仿宋_GB2312" w:hAnsi="仿宋_GB2312" w:cs="仿宋_GB2312" w:eastAsia="仿宋_GB2312"/>
                <w:sz w:val="24"/>
              </w:rPr>
              <w:t>18/25</w:t>
            </w:r>
            <w:r>
              <w:rPr>
                <w:rFonts w:ascii="仿宋_GB2312" w:hAnsi="仿宋_GB2312" w:cs="仿宋_GB2312" w:eastAsia="仿宋_GB2312"/>
                <w:sz w:val="24"/>
              </w:rPr>
              <w:t>°；轴荷：≥</w:t>
            </w:r>
            <w:r>
              <w:rPr>
                <w:rFonts w:ascii="仿宋_GB2312" w:hAnsi="仿宋_GB2312" w:cs="仿宋_GB2312" w:eastAsia="仿宋_GB2312"/>
                <w:sz w:val="24"/>
              </w:rPr>
              <w:t>1710/2785</w:t>
            </w:r>
            <w:r>
              <w:rPr>
                <w:rFonts w:ascii="仿宋_GB2312" w:hAnsi="仿宋_GB2312" w:cs="仿宋_GB2312" w:eastAsia="仿宋_GB2312"/>
                <w:sz w:val="24"/>
              </w:rPr>
              <w:t>kg</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最高时速：</w:t>
            </w:r>
            <w:r>
              <w:rPr>
                <w:rFonts w:ascii="仿宋_GB2312" w:hAnsi="仿宋_GB2312" w:cs="仿宋_GB2312" w:eastAsia="仿宋_GB2312"/>
                <w:sz w:val="24"/>
              </w:rPr>
              <w:t>≥</w:t>
            </w:r>
            <w:r>
              <w:rPr>
                <w:rFonts w:ascii="仿宋_GB2312" w:hAnsi="仿宋_GB2312" w:cs="仿宋_GB2312" w:eastAsia="仿宋_GB2312"/>
                <w:sz w:val="24"/>
              </w:rPr>
              <w:t>110km/h</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驾驶室：单排驾驶室，带冷暖空调，倒车影视，中控锁，电动门窗</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最大起吊重量：</w:t>
            </w:r>
            <w:r>
              <w:rPr>
                <w:rFonts w:ascii="仿宋_GB2312" w:hAnsi="仿宋_GB2312" w:cs="仿宋_GB2312" w:eastAsia="仿宋_GB2312"/>
                <w:sz w:val="24"/>
              </w:rPr>
              <w:t>≥</w:t>
            </w:r>
            <w:r>
              <w:rPr>
                <w:rFonts w:ascii="仿宋_GB2312" w:hAnsi="仿宋_GB2312" w:cs="仿宋_GB2312" w:eastAsia="仿宋_GB2312"/>
                <w:sz w:val="24"/>
              </w:rPr>
              <w:t>1500kg</w:t>
            </w:r>
            <w:r>
              <w:rPr>
                <w:rFonts w:ascii="仿宋_GB2312" w:hAnsi="仿宋_GB2312" w:cs="仿宋_GB2312" w:eastAsia="仿宋_GB2312"/>
                <w:sz w:val="24"/>
              </w:rPr>
              <w:t>；控制方式：驾驶室内电控</w:t>
            </w:r>
            <w:r>
              <w:rPr>
                <w:rFonts w:ascii="仿宋_GB2312" w:hAnsi="仿宋_GB2312" w:cs="仿宋_GB2312" w:eastAsia="仿宋_GB2312"/>
                <w:sz w:val="24"/>
              </w:rPr>
              <w:t>+</w:t>
            </w:r>
            <w:r>
              <w:rPr>
                <w:rFonts w:ascii="仿宋_GB2312" w:hAnsi="仿宋_GB2312" w:cs="仿宋_GB2312" w:eastAsia="仿宋_GB2312"/>
                <w:sz w:val="24"/>
              </w:rPr>
              <w:t>液压杆控制</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匹配性：垃圾车需与本次采购的垃圾箱</w:t>
            </w:r>
            <w:r>
              <w:rPr>
                <w:rFonts w:ascii="仿宋_GB2312" w:hAnsi="仿宋_GB2312" w:cs="仿宋_GB2312" w:eastAsia="仿宋_GB2312"/>
                <w:sz w:val="24"/>
              </w:rPr>
              <w:t>及使用单位原有垃圾车完全匹配，上下箱、锁箱自卸均正常运行。</w:t>
            </w:r>
          </w:p>
          <w:p>
            <w:pPr>
              <w:pStyle w:val="null5"/>
              <w:jc w:val="both"/>
            </w:pPr>
          </w:p>
        </w:tc>
      </w:tr>
    </w:tbl>
    <w:p>
      <w:pPr>
        <w:pStyle w:val="null5"/>
        <w:jc w:val="left"/>
      </w:pPr>
      <w:r>
        <w:rPr>
          <w:rFonts w:ascii="仿宋_GB2312" w:hAnsi="仿宋_GB2312" w:cs="仿宋_GB2312" w:eastAsia="仿宋_GB2312"/>
        </w:rPr>
        <w:t>标的名称：自卸式垃圾车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after="120"/>
              <w:jc w:val="both"/>
            </w:pPr>
            <w:r>
              <w:rPr>
                <w:rFonts w:ascii="仿宋_GB2312" w:hAnsi="仿宋_GB2312" w:cs="仿宋_GB2312" w:eastAsia="仿宋_GB2312"/>
                <w:sz w:val="24"/>
              </w:rPr>
              <w:t>1、</w:t>
            </w:r>
            <w:r>
              <w:rPr>
                <w:rFonts w:ascii="仿宋_GB2312" w:hAnsi="仿宋_GB2312" w:cs="仿宋_GB2312" w:eastAsia="仿宋_GB2312"/>
                <w:sz w:val="24"/>
              </w:rPr>
              <w:t>整车尺寸：</w:t>
            </w:r>
            <w:r>
              <w:rPr>
                <w:rFonts w:ascii="仿宋_GB2312" w:hAnsi="仿宋_GB2312" w:cs="仿宋_GB2312" w:eastAsia="仿宋_GB2312"/>
                <w:sz w:val="24"/>
              </w:rPr>
              <w:t>≥6510*2360*2580mm</w:t>
            </w:r>
          </w:p>
          <w:p>
            <w:pPr>
              <w:pStyle w:val="null5"/>
              <w:spacing w:after="120"/>
              <w:jc w:val="both"/>
            </w:pPr>
            <w:r>
              <w:rPr>
                <w:rFonts w:ascii="仿宋_GB2312" w:hAnsi="仿宋_GB2312" w:cs="仿宋_GB2312" w:eastAsia="仿宋_GB2312"/>
                <w:sz w:val="24"/>
              </w:rPr>
              <w:t>2、</w:t>
            </w:r>
            <w:r>
              <w:rPr>
                <w:rFonts w:ascii="仿宋_GB2312" w:hAnsi="仿宋_GB2312" w:cs="仿宋_GB2312" w:eastAsia="仿宋_GB2312"/>
                <w:sz w:val="24"/>
              </w:rPr>
              <w:t>发动机规格：国六、柴油</w:t>
            </w:r>
          </w:p>
          <w:p>
            <w:pPr>
              <w:pStyle w:val="null5"/>
              <w:spacing w:after="120"/>
              <w:jc w:val="both"/>
            </w:pPr>
            <w:r>
              <w:rPr>
                <w:rFonts w:ascii="仿宋_GB2312" w:hAnsi="仿宋_GB2312" w:cs="仿宋_GB2312" w:eastAsia="仿宋_GB2312"/>
                <w:sz w:val="24"/>
              </w:rPr>
              <w:t>3、</w:t>
            </w:r>
            <w:r>
              <w:rPr>
                <w:rFonts w:ascii="仿宋_GB2312" w:hAnsi="仿宋_GB2312" w:cs="仿宋_GB2312" w:eastAsia="仿宋_GB2312"/>
                <w:sz w:val="24"/>
              </w:rPr>
              <w:t>功率：</w:t>
            </w:r>
            <w:r>
              <w:rPr>
                <w:rFonts w:ascii="仿宋_GB2312" w:hAnsi="仿宋_GB2312" w:cs="仿宋_GB2312" w:eastAsia="仿宋_GB2312"/>
                <w:sz w:val="24"/>
              </w:rPr>
              <w:t>≥125KW</w:t>
            </w:r>
          </w:p>
          <w:p>
            <w:pPr>
              <w:pStyle w:val="null5"/>
              <w:spacing w:after="120"/>
              <w:jc w:val="both"/>
            </w:pPr>
            <w:r>
              <w:rPr>
                <w:rFonts w:ascii="仿宋_GB2312" w:hAnsi="仿宋_GB2312" w:cs="仿宋_GB2312" w:eastAsia="仿宋_GB2312"/>
                <w:sz w:val="24"/>
              </w:rPr>
              <w:t>4、</w:t>
            </w:r>
            <w:r>
              <w:rPr>
                <w:rFonts w:ascii="仿宋_GB2312" w:hAnsi="仿宋_GB2312" w:cs="仿宋_GB2312" w:eastAsia="仿宋_GB2312"/>
                <w:sz w:val="24"/>
              </w:rPr>
              <w:t>总质量：</w:t>
            </w:r>
            <w:r>
              <w:rPr>
                <w:rFonts w:ascii="仿宋_GB2312" w:hAnsi="仿宋_GB2312" w:cs="仿宋_GB2312" w:eastAsia="仿宋_GB2312"/>
                <w:sz w:val="24"/>
              </w:rPr>
              <w:t>≥11995kg；整备质量：≥5760kg；额定载质量：≥6105kg</w:t>
            </w:r>
          </w:p>
          <w:p>
            <w:pPr>
              <w:pStyle w:val="null5"/>
              <w:spacing w:after="120"/>
              <w:jc w:val="both"/>
            </w:pPr>
            <w:r>
              <w:rPr>
                <w:rFonts w:ascii="仿宋_GB2312" w:hAnsi="仿宋_GB2312" w:cs="仿宋_GB2312" w:eastAsia="仿宋_GB2312"/>
                <w:sz w:val="24"/>
              </w:rPr>
              <w:t>5、</w:t>
            </w:r>
            <w:r>
              <w:rPr>
                <w:rFonts w:ascii="仿宋_GB2312" w:hAnsi="仿宋_GB2312" w:cs="仿宋_GB2312" w:eastAsia="仿宋_GB2312"/>
                <w:sz w:val="24"/>
              </w:rPr>
              <w:t>前悬</w:t>
            </w:r>
            <w:r>
              <w:rPr>
                <w:rFonts w:ascii="仿宋_GB2312" w:hAnsi="仿宋_GB2312" w:cs="仿宋_GB2312" w:eastAsia="仿宋_GB2312"/>
                <w:sz w:val="24"/>
              </w:rPr>
              <w:t>/后悬：≥</w:t>
            </w:r>
            <w:r>
              <w:rPr>
                <w:rFonts w:ascii="仿宋_GB2312" w:hAnsi="仿宋_GB2312" w:cs="仿宋_GB2312" w:eastAsia="仿宋_GB2312"/>
                <w:sz w:val="24"/>
              </w:rPr>
              <w:t>1180/1400</w:t>
            </w:r>
            <w:r>
              <w:rPr>
                <w:rFonts w:ascii="仿宋_GB2312" w:hAnsi="仿宋_GB2312" w:cs="仿宋_GB2312" w:eastAsia="仿宋_GB2312"/>
                <w:sz w:val="24"/>
              </w:rPr>
              <w:t>mm；</w:t>
            </w:r>
          </w:p>
          <w:p>
            <w:pPr>
              <w:pStyle w:val="null5"/>
              <w:spacing w:after="120"/>
              <w:jc w:val="both"/>
            </w:pPr>
            <w:r>
              <w:rPr>
                <w:rFonts w:ascii="仿宋_GB2312" w:hAnsi="仿宋_GB2312" w:cs="仿宋_GB2312" w:eastAsia="仿宋_GB2312"/>
                <w:sz w:val="24"/>
              </w:rPr>
              <w:t>6、</w:t>
            </w:r>
            <w:r>
              <w:rPr>
                <w:rFonts w:ascii="仿宋_GB2312" w:hAnsi="仿宋_GB2312" w:cs="仿宋_GB2312" w:eastAsia="仿宋_GB2312"/>
                <w:sz w:val="24"/>
              </w:rPr>
              <w:t>轴距：</w:t>
            </w:r>
            <w:r>
              <w:rPr>
                <w:rFonts w:ascii="仿宋_GB2312" w:hAnsi="仿宋_GB2312" w:cs="仿宋_GB2312" w:eastAsia="仿宋_GB2312"/>
                <w:sz w:val="24"/>
              </w:rPr>
              <w:t>≥3800mm；接近角/离去角：≥21/25°；轴荷：≥</w:t>
            </w:r>
            <w:r>
              <w:rPr>
                <w:rFonts w:ascii="仿宋_GB2312" w:hAnsi="仿宋_GB2312" w:cs="仿宋_GB2312" w:eastAsia="仿宋_GB2312"/>
                <w:sz w:val="24"/>
              </w:rPr>
              <w:t>4350/7645</w:t>
            </w:r>
            <w:r>
              <w:rPr>
                <w:rFonts w:ascii="仿宋_GB2312" w:hAnsi="仿宋_GB2312" w:cs="仿宋_GB2312" w:eastAsia="仿宋_GB2312"/>
                <w:sz w:val="24"/>
              </w:rPr>
              <w:t>kg</w:t>
            </w:r>
          </w:p>
          <w:p>
            <w:pPr>
              <w:pStyle w:val="null5"/>
              <w:spacing w:after="120"/>
              <w:jc w:val="both"/>
            </w:pPr>
            <w:r>
              <w:rPr>
                <w:rFonts w:ascii="仿宋_GB2312" w:hAnsi="仿宋_GB2312" w:cs="仿宋_GB2312" w:eastAsia="仿宋_GB2312"/>
                <w:sz w:val="24"/>
              </w:rPr>
              <w:t>7、</w:t>
            </w:r>
            <w:r>
              <w:rPr>
                <w:rFonts w:ascii="仿宋_GB2312" w:hAnsi="仿宋_GB2312" w:cs="仿宋_GB2312" w:eastAsia="仿宋_GB2312"/>
                <w:sz w:val="24"/>
              </w:rPr>
              <w:t>最高时速：</w:t>
            </w:r>
            <w:r>
              <w:rPr>
                <w:rFonts w:ascii="仿宋_GB2312" w:hAnsi="仿宋_GB2312" w:cs="仿宋_GB2312" w:eastAsia="仿宋_GB2312"/>
                <w:sz w:val="24"/>
              </w:rPr>
              <w:t>≥103km/h</w:t>
            </w:r>
          </w:p>
          <w:p>
            <w:pPr>
              <w:pStyle w:val="null5"/>
              <w:spacing w:after="120"/>
              <w:jc w:val="both"/>
            </w:pPr>
            <w:r>
              <w:rPr>
                <w:rFonts w:ascii="仿宋_GB2312" w:hAnsi="仿宋_GB2312" w:cs="仿宋_GB2312" w:eastAsia="仿宋_GB2312"/>
                <w:sz w:val="24"/>
              </w:rPr>
              <w:t>8、</w:t>
            </w:r>
            <w:r>
              <w:rPr>
                <w:rFonts w:ascii="仿宋_GB2312" w:hAnsi="仿宋_GB2312" w:cs="仿宋_GB2312" w:eastAsia="仿宋_GB2312"/>
                <w:sz w:val="24"/>
              </w:rPr>
              <w:t>驾驶室：单排驾驶室，带冷暖空调，倒车影视，中控锁，电动门窗</w:t>
            </w:r>
          </w:p>
          <w:p>
            <w:pPr>
              <w:pStyle w:val="null5"/>
              <w:spacing w:after="120"/>
              <w:jc w:val="both"/>
            </w:pPr>
            <w:r>
              <w:rPr>
                <w:rFonts w:ascii="仿宋_GB2312" w:hAnsi="仿宋_GB2312" w:cs="仿宋_GB2312" w:eastAsia="仿宋_GB2312"/>
                <w:sz w:val="24"/>
              </w:rPr>
              <w:t>9、</w:t>
            </w:r>
            <w:r>
              <w:rPr>
                <w:rFonts w:ascii="仿宋_GB2312" w:hAnsi="仿宋_GB2312" w:cs="仿宋_GB2312" w:eastAsia="仿宋_GB2312"/>
                <w:sz w:val="24"/>
              </w:rPr>
              <w:t>货箱尺寸</w:t>
            </w:r>
            <w:r>
              <w:rPr>
                <w:rFonts w:ascii="仿宋_GB2312" w:hAnsi="仿宋_GB2312" w:cs="仿宋_GB2312" w:eastAsia="仿宋_GB2312"/>
                <w:sz w:val="24"/>
              </w:rPr>
              <w:t>：</w:t>
            </w:r>
            <w:r>
              <w:rPr>
                <w:rFonts w:ascii="仿宋_GB2312" w:hAnsi="仿宋_GB2312" w:cs="仿宋_GB2312" w:eastAsia="仿宋_GB2312"/>
                <w:sz w:val="24"/>
              </w:rPr>
              <w:t>≥4350*2150*800mm</w:t>
            </w:r>
            <w:r>
              <w:rPr>
                <w:rFonts w:ascii="仿宋_GB2312" w:hAnsi="仿宋_GB2312" w:cs="仿宋_GB2312" w:eastAsia="仿宋_GB2312"/>
                <w:sz w:val="24"/>
              </w:rPr>
              <w:t>；</w:t>
            </w:r>
            <w:r>
              <w:rPr>
                <w:rFonts w:ascii="仿宋_GB2312" w:hAnsi="仿宋_GB2312" w:cs="仿宋_GB2312" w:eastAsia="仿宋_GB2312"/>
                <w:sz w:val="24"/>
              </w:rPr>
              <w:t>箱体材质</w:t>
            </w:r>
            <w:r>
              <w:rPr>
                <w:rFonts w:ascii="仿宋_GB2312" w:hAnsi="仿宋_GB2312" w:cs="仿宋_GB2312" w:eastAsia="仿宋_GB2312"/>
                <w:sz w:val="24"/>
              </w:rPr>
              <w:t>：</w:t>
            </w:r>
            <w:r>
              <w:rPr>
                <w:rFonts w:ascii="仿宋_GB2312" w:hAnsi="仿宋_GB2312" w:cs="仿宋_GB2312" w:eastAsia="仿宋_GB2312"/>
                <w:sz w:val="24"/>
              </w:rPr>
              <w:t>优质低合金碳钢板，底板厚度</w:t>
            </w:r>
            <w:r>
              <w:rPr>
                <w:rFonts w:ascii="仿宋_GB2312" w:hAnsi="仿宋_GB2312" w:cs="仿宋_GB2312" w:eastAsia="仿宋_GB2312"/>
                <w:sz w:val="24"/>
              </w:rPr>
              <w:t>≥</w:t>
            </w:r>
            <w:r>
              <w:rPr>
                <w:rFonts w:ascii="仿宋_GB2312" w:hAnsi="仿宋_GB2312" w:cs="仿宋_GB2312" w:eastAsia="仿宋_GB2312"/>
                <w:sz w:val="24"/>
              </w:rPr>
              <w:t>4mm，墙板厚度</w:t>
            </w:r>
            <w:r>
              <w:rPr>
                <w:rFonts w:ascii="仿宋_GB2312" w:hAnsi="仿宋_GB2312" w:cs="仿宋_GB2312" w:eastAsia="仿宋_GB2312"/>
                <w:sz w:val="24"/>
              </w:rPr>
              <w:t>≥</w:t>
            </w:r>
            <w:r>
              <w:rPr>
                <w:rFonts w:ascii="仿宋_GB2312" w:hAnsi="仿宋_GB2312" w:cs="仿宋_GB2312" w:eastAsia="仿宋_GB2312"/>
                <w:sz w:val="24"/>
              </w:rPr>
              <w:t>3mm</w:t>
            </w:r>
            <w:r>
              <w:rPr>
                <w:rFonts w:ascii="仿宋_GB2312" w:hAnsi="仿宋_GB2312" w:cs="仿宋_GB2312" w:eastAsia="仿宋_GB2312"/>
                <w:sz w:val="24"/>
              </w:rPr>
              <w:t>；</w:t>
            </w:r>
            <w:r>
              <w:rPr>
                <w:rFonts w:ascii="仿宋_GB2312" w:hAnsi="仿宋_GB2312" w:cs="仿宋_GB2312" w:eastAsia="仿宋_GB2312"/>
                <w:sz w:val="24"/>
              </w:rPr>
              <w:t>箱体结构</w:t>
            </w:r>
            <w:r>
              <w:rPr>
                <w:rFonts w:ascii="仿宋_GB2312" w:hAnsi="仿宋_GB2312" w:cs="仿宋_GB2312" w:eastAsia="仿宋_GB2312"/>
                <w:sz w:val="24"/>
              </w:rPr>
              <w:t>：</w:t>
            </w:r>
            <w:r>
              <w:rPr>
                <w:rFonts w:ascii="仿宋_GB2312" w:hAnsi="仿宋_GB2312" w:cs="仿宋_GB2312" w:eastAsia="仿宋_GB2312"/>
                <w:sz w:val="24"/>
              </w:rPr>
              <w:t>采用加密横梁支撑，墙板加固，顶板采用电液控制，向两边翼展开启</w:t>
            </w:r>
            <w:r>
              <w:rPr>
                <w:rFonts w:ascii="仿宋_GB2312" w:hAnsi="仿宋_GB2312" w:cs="仿宋_GB2312" w:eastAsia="仿宋_GB2312"/>
                <w:sz w:val="24"/>
              </w:rPr>
              <w:t>。</w:t>
            </w:r>
          </w:p>
          <w:p>
            <w:pPr>
              <w:pStyle w:val="null5"/>
              <w:spacing w:after="120"/>
              <w:jc w:val="both"/>
            </w:pPr>
            <w:r>
              <w:rPr>
                <w:rFonts w:ascii="仿宋_GB2312" w:hAnsi="仿宋_GB2312" w:cs="仿宋_GB2312" w:eastAsia="仿宋_GB2312"/>
                <w:sz w:val="24"/>
              </w:rPr>
              <w:t>10、</w:t>
            </w:r>
            <w:r>
              <w:rPr>
                <w:rFonts w:ascii="仿宋_GB2312" w:hAnsi="仿宋_GB2312" w:cs="仿宋_GB2312" w:eastAsia="仿宋_GB2312"/>
                <w:sz w:val="24"/>
              </w:rPr>
              <w:t>控制方式：驾驶室内电控</w:t>
            </w:r>
            <w:r>
              <w:rPr>
                <w:rFonts w:ascii="仿宋_GB2312" w:hAnsi="仿宋_GB2312" w:cs="仿宋_GB2312" w:eastAsia="仿宋_GB2312"/>
                <w:sz w:val="24"/>
              </w:rPr>
              <w:t>+液压杆控制</w:t>
            </w:r>
          </w:p>
        </w:tc>
      </w:tr>
    </w:tbl>
    <w:p>
      <w:pPr>
        <w:pStyle w:val="null5"/>
        <w:jc w:val="left"/>
      </w:pPr>
      <w:r>
        <w:rPr>
          <w:rFonts w:ascii="仿宋_GB2312" w:hAnsi="仿宋_GB2312" w:cs="仿宋_GB2312" w:eastAsia="仿宋_GB2312"/>
        </w:rPr>
        <w:t>标的名称：3m³钩臂式垃圾箱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箱体容积：</w:t>
            </w:r>
            <w:r>
              <w:rPr>
                <w:rFonts w:ascii="仿宋_GB2312" w:hAnsi="仿宋_GB2312" w:cs="仿宋_GB2312" w:eastAsia="仿宋_GB2312"/>
                <w:sz w:val="24"/>
              </w:rPr>
              <w:t>≥</w:t>
            </w:r>
            <w:r>
              <w:rPr>
                <w:rFonts w:ascii="仿宋_GB2312" w:hAnsi="仿宋_GB2312" w:cs="仿宋_GB2312" w:eastAsia="仿宋_GB2312"/>
                <w:sz w:val="24"/>
              </w:rPr>
              <w:t>3m</w:t>
            </w:r>
            <w:r>
              <w:rPr>
                <w:rFonts w:ascii="仿宋_GB2312" w:hAnsi="仿宋_GB2312" w:cs="仿宋_GB2312" w:eastAsia="仿宋_GB2312"/>
                <w:sz w:val="24"/>
              </w:rPr>
              <w:t>³</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箱体外形尺寸：</w:t>
            </w:r>
            <w:r>
              <w:rPr>
                <w:rFonts w:ascii="仿宋_GB2312" w:hAnsi="仿宋_GB2312" w:cs="仿宋_GB2312" w:eastAsia="仿宋_GB2312"/>
                <w:sz w:val="24"/>
              </w:rPr>
              <w:t>≥</w:t>
            </w:r>
            <w:r>
              <w:rPr>
                <w:rFonts w:ascii="仿宋_GB2312" w:hAnsi="仿宋_GB2312" w:cs="仿宋_GB2312" w:eastAsia="仿宋_GB2312"/>
                <w:sz w:val="24"/>
              </w:rPr>
              <w:t>2000*1450*1100mm</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钩心高度：</w:t>
            </w:r>
            <w:r>
              <w:rPr>
                <w:rFonts w:ascii="仿宋_GB2312" w:hAnsi="仿宋_GB2312" w:cs="仿宋_GB2312" w:eastAsia="仿宋_GB2312"/>
                <w:sz w:val="24"/>
              </w:rPr>
              <w:t>1000</w:t>
            </w:r>
            <w:r>
              <w:rPr>
                <w:rFonts w:ascii="仿宋_GB2312" w:hAnsi="仿宋_GB2312" w:cs="仿宋_GB2312" w:eastAsia="仿宋_GB2312"/>
                <w:sz w:val="24"/>
              </w:rPr>
              <w:t>±</w:t>
            </w:r>
            <w:r>
              <w:rPr>
                <w:rFonts w:ascii="仿宋_GB2312" w:hAnsi="仿宋_GB2312" w:cs="仿宋_GB2312" w:eastAsia="仿宋_GB2312"/>
                <w:sz w:val="24"/>
              </w:rPr>
              <w:t>5mm</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箱体材质：板材强度不低于</w:t>
            </w:r>
            <w:r>
              <w:rPr>
                <w:rFonts w:ascii="仿宋_GB2312" w:hAnsi="仿宋_GB2312" w:cs="仿宋_GB2312" w:eastAsia="仿宋_GB2312"/>
                <w:sz w:val="24"/>
              </w:rPr>
              <w:t>Q235</w:t>
            </w:r>
            <w:r>
              <w:rPr>
                <w:rFonts w:ascii="仿宋_GB2312" w:hAnsi="仿宋_GB2312" w:cs="仿宋_GB2312" w:eastAsia="仿宋_GB2312"/>
                <w:sz w:val="24"/>
              </w:rPr>
              <w:t>规格；箱体厚度：底板厚度≥</w:t>
            </w:r>
            <w:r>
              <w:rPr>
                <w:rFonts w:ascii="仿宋_GB2312" w:hAnsi="仿宋_GB2312" w:cs="仿宋_GB2312" w:eastAsia="仿宋_GB2312"/>
                <w:sz w:val="24"/>
              </w:rPr>
              <w:t>2mm</w:t>
            </w:r>
            <w:r>
              <w:rPr>
                <w:rFonts w:ascii="仿宋_GB2312" w:hAnsi="仿宋_GB2312" w:cs="仿宋_GB2312" w:eastAsia="仿宋_GB2312"/>
                <w:sz w:val="24"/>
              </w:rPr>
              <w:t>，侧板及顶板厚度≥</w:t>
            </w:r>
            <w:r>
              <w:rPr>
                <w:rFonts w:ascii="仿宋_GB2312" w:hAnsi="仿宋_GB2312" w:cs="仿宋_GB2312" w:eastAsia="仿宋_GB2312"/>
                <w:sz w:val="24"/>
              </w:rPr>
              <w:t>1.5mm</w:t>
            </w:r>
            <w:r>
              <w:rPr>
                <w:rFonts w:ascii="仿宋_GB2312" w:hAnsi="仿宋_GB2312" w:cs="仿宋_GB2312" w:eastAsia="仿宋_GB2312"/>
                <w:sz w:val="24"/>
              </w:rPr>
              <w:t>；箱体框架：垃圾箱前后门主骨架采用≥</w:t>
            </w:r>
            <w:r>
              <w:rPr>
                <w:rFonts w:ascii="仿宋_GB2312" w:hAnsi="仿宋_GB2312" w:cs="仿宋_GB2312" w:eastAsia="仿宋_GB2312"/>
                <w:sz w:val="24"/>
              </w:rPr>
              <w:t>50*30*1.5mm</w:t>
            </w:r>
            <w:r>
              <w:rPr>
                <w:rFonts w:ascii="仿宋_GB2312" w:hAnsi="仿宋_GB2312" w:cs="仿宋_GB2312" w:eastAsia="仿宋_GB2312"/>
                <w:sz w:val="24"/>
              </w:rPr>
              <w:t>厚方管，底部纵梁采用≥</w:t>
            </w:r>
            <w:r>
              <w:rPr>
                <w:rFonts w:ascii="仿宋_GB2312" w:hAnsi="仿宋_GB2312" w:cs="仿宋_GB2312" w:eastAsia="仿宋_GB2312"/>
                <w:sz w:val="24"/>
              </w:rPr>
              <w:t>100*50*2mm</w:t>
            </w:r>
            <w:r>
              <w:rPr>
                <w:rFonts w:ascii="仿宋_GB2312" w:hAnsi="仿宋_GB2312" w:cs="仿宋_GB2312" w:eastAsia="仿宋_GB2312"/>
                <w:sz w:val="24"/>
              </w:rPr>
              <w:t>矩形方筒，底板采用两根≥</w:t>
            </w:r>
            <w:r>
              <w:rPr>
                <w:rFonts w:ascii="仿宋_GB2312" w:hAnsi="仿宋_GB2312" w:cs="仿宋_GB2312" w:eastAsia="仿宋_GB2312"/>
                <w:sz w:val="24"/>
              </w:rPr>
              <w:t>50*30*1.5mm</w:t>
            </w:r>
            <w:r>
              <w:rPr>
                <w:rFonts w:ascii="仿宋_GB2312" w:hAnsi="仿宋_GB2312" w:cs="仿宋_GB2312" w:eastAsia="仿宋_GB2312"/>
                <w:sz w:val="24"/>
              </w:rPr>
              <w:t>厚方管及一根≥</w:t>
            </w:r>
            <w:r>
              <w:rPr>
                <w:rFonts w:ascii="仿宋_GB2312" w:hAnsi="仿宋_GB2312" w:cs="仿宋_GB2312" w:eastAsia="仿宋_GB2312"/>
                <w:sz w:val="24"/>
              </w:rPr>
              <w:t>40*40*1.5mm</w:t>
            </w:r>
            <w:r>
              <w:rPr>
                <w:rFonts w:ascii="仿宋_GB2312" w:hAnsi="仿宋_GB2312" w:cs="仿宋_GB2312" w:eastAsia="仿宋_GB2312"/>
                <w:sz w:val="24"/>
              </w:rPr>
              <w:t>锁紧方管；生产工艺：箱体采用一次成型模具冲压而成，机械臂焊接。</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前挂钩：采用直径</w:t>
            </w:r>
            <w:r>
              <w:rPr>
                <w:rFonts w:ascii="仿宋_GB2312" w:hAnsi="仿宋_GB2312" w:cs="仿宋_GB2312" w:eastAsia="仿宋_GB2312"/>
                <w:sz w:val="24"/>
              </w:rPr>
              <w:t>≥</w:t>
            </w:r>
            <w:r>
              <w:rPr>
                <w:rFonts w:ascii="仿宋_GB2312" w:hAnsi="仿宋_GB2312" w:cs="仿宋_GB2312" w:eastAsia="仿宋_GB2312"/>
                <w:sz w:val="24"/>
              </w:rPr>
              <w:t>30mm</w:t>
            </w:r>
            <w:r>
              <w:rPr>
                <w:rFonts w:ascii="仿宋_GB2312" w:hAnsi="仿宋_GB2312" w:cs="仿宋_GB2312" w:eastAsia="仿宋_GB2312"/>
                <w:sz w:val="24"/>
              </w:rPr>
              <w:t>的实心钢筋</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纵梁宽度：</w:t>
            </w:r>
            <w:r>
              <w:rPr>
                <w:rFonts w:ascii="仿宋_GB2312" w:hAnsi="仿宋_GB2312" w:cs="仿宋_GB2312" w:eastAsia="仿宋_GB2312"/>
                <w:sz w:val="24"/>
              </w:rPr>
              <w:t>890mm</w:t>
            </w:r>
            <w:r>
              <w:rPr>
                <w:rFonts w:ascii="仿宋_GB2312" w:hAnsi="仿宋_GB2312" w:cs="仿宋_GB2312" w:eastAsia="仿宋_GB2312"/>
                <w:sz w:val="24"/>
              </w:rPr>
              <w:t>±</w:t>
            </w:r>
            <w:r>
              <w:rPr>
                <w:rFonts w:ascii="仿宋_GB2312" w:hAnsi="仿宋_GB2312" w:cs="仿宋_GB2312" w:eastAsia="仿宋_GB2312"/>
                <w:sz w:val="24"/>
              </w:rPr>
              <w:t>2mm</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投料口：箱体左右各带一个投料口，采用上掀开启的方式，使用撑杆支撑开启，锁扣锁紧。</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行走装置：箱体底部带</w:t>
            </w:r>
            <w:r>
              <w:rPr>
                <w:rFonts w:ascii="仿宋_GB2312" w:hAnsi="仿宋_GB2312" w:cs="仿宋_GB2312" w:eastAsia="仿宋_GB2312"/>
                <w:sz w:val="24"/>
              </w:rPr>
              <w:t>4</w:t>
            </w:r>
            <w:r>
              <w:rPr>
                <w:rFonts w:ascii="仿宋_GB2312" w:hAnsi="仿宋_GB2312" w:cs="仿宋_GB2312" w:eastAsia="仿宋_GB2312"/>
                <w:sz w:val="24"/>
              </w:rPr>
              <w:t>个滚轮，</w:t>
            </w:r>
            <w:r>
              <w:rPr>
                <w:rFonts w:ascii="仿宋_GB2312" w:hAnsi="仿宋_GB2312" w:cs="仿宋_GB2312" w:eastAsia="仿宋_GB2312"/>
                <w:sz w:val="24"/>
              </w:rPr>
              <w:t>2</w:t>
            </w:r>
            <w:r>
              <w:rPr>
                <w:rFonts w:ascii="仿宋_GB2312" w:hAnsi="仿宋_GB2312" w:cs="仿宋_GB2312" w:eastAsia="仿宋_GB2312"/>
                <w:sz w:val="24"/>
              </w:rPr>
              <w:t>个定向轮，</w:t>
            </w:r>
            <w:r>
              <w:rPr>
                <w:rFonts w:ascii="仿宋_GB2312" w:hAnsi="仿宋_GB2312" w:cs="仿宋_GB2312" w:eastAsia="仿宋_GB2312"/>
                <w:sz w:val="24"/>
              </w:rPr>
              <w:t>2</w:t>
            </w:r>
            <w:r>
              <w:rPr>
                <w:rFonts w:ascii="仿宋_GB2312" w:hAnsi="仿宋_GB2312" w:cs="仿宋_GB2312" w:eastAsia="仿宋_GB2312"/>
                <w:sz w:val="24"/>
              </w:rPr>
              <w:t>个带锁止功能的万向轮；尾门防水：安装不低于</w:t>
            </w:r>
            <w:r>
              <w:rPr>
                <w:rFonts w:ascii="仿宋_GB2312" w:hAnsi="仿宋_GB2312" w:cs="仿宋_GB2312" w:eastAsia="仿宋_GB2312"/>
                <w:sz w:val="24"/>
              </w:rPr>
              <w:t>3cm</w:t>
            </w:r>
            <w:r>
              <w:rPr>
                <w:rFonts w:ascii="仿宋_GB2312" w:hAnsi="仿宋_GB2312" w:cs="仿宋_GB2312" w:eastAsia="仿宋_GB2312"/>
                <w:sz w:val="24"/>
              </w:rPr>
              <w:t>的拦水板，尾门一圈安装特制密封条，耐油、耐腐蚀、耐老化，密封性好。</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宣传标语：箱体侧面及前后根据使用单位的要求喷涂及编号，字体采用丝印技术。</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匹配方式：垃圾箱需与本次采购的垃圾车及使用单位原有垃圾车完全匹配，钓心高度、自锁均正常运行。</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技术响应程度(30分)</w:t>
            </w:r>
          </w:p>
        </w:tc>
        <w:tc>
          <w:tcPr>
            <w:tcW w:type="dxa" w:w="3115"/>
          </w:tcPr>
          <w:p>
            <w:pPr>
              <w:pStyle w:val="null5"/>
              <w:jc w:val="left"/>
            </w:pPr>
            <w:r>
              <w:rPr>
                <w:rFonts w:ascii="仿宋_GB2312" w:hAnsi="仿宋_GB2312" w:cs="仿宋_GB2312" w:eastAsia="仿宋_GB2312"/>
              </w:rPr>
              <w:t>所投产品技术参数是否响应招标文件技术要求：参数每有一处负偏离减3分，减完为止。 （须提供相关佐证文件如：推广鉴定报告、技术白皮书、检测报告、产品彩页等任意一项。不提供佐证文件的不得分）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质量保证及承诺（10分）</w:t>
            </w:r>
          </w:p>
        </w:tc>
        <w:tc>
          <w:tcPr>
            <w:tcW w:type="dxa" w:w="3115"/>
          </w:tcPr>
          <w:p>
            <w:pPr>
              <w:pStyle w:val="null5"/>
              <w:jc w:val="left"/>
            </w:pPr>
            <w:r>
              <w:rPr>
                <w:rFonts w:ascii="仿宋_GB2312" w:hAnsi="仿宋_GB2312" w:cs="仿宋_GB2312" w:eastAsia="仿宋_GB2312"/>
              </w:rPr>
              <w:t>(1)产品质量保证及承诺优，措施完善； 优:投标人提出的产品质量保证及承诺优，提出的产品质量保证期优于本次采购需求，有具体的违约责任承诺，并列出具体的保证措施且保证措施合理、有针对性、有可实施性，得10分； (2)质量保证及承诺良好； 良好:投标人提出的产品质量保证及承诺良好，提出的产品质量保证期满足本次采购需求，有违约责任承诺，并列出具体的保证措施且较合理的、可实施性一般，得6分； (3)质量保证及承诺一般； 一般:投标人提出的产品质量保证及承诺一般，提出的产品质量保证期满足本次采购需求,有违约责任承诺但不具体，列出的保证措施不合理的、可实施性较差得2分。 (4)无质量保证或内容与招标内容不相符； 无质量保证或保证内容与采购内容不相符，出现严重偏离的，得0分。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供货及安装方案（10分）</w:t>
            </w:r>
          </w:p>
        </w:tc>
        <w:tc>
          <w:tcPr>
            <w:tcW w:type="dxa" w:w="3115"/>
          </w:tcPr>
          <w:p>
            <w:pPr>
              <w:pStyle w:val="null5"/>
              <w:jc w:val="left"/>
            </w:pPr>
            <w:r>
              <w:rPr>
                <w:rFonts w:ascii="仿宋_GB2312" w:hAnsi="仿宋_GB2312" w:cs="仿宋_GB2312" w:eastAsia="仿宋_GB2312"/>
              </w:rPr>
              <w:t>(1)供货及安装周期进度计划合理、安装方案、调试方案具有针对性及可操作性强，保障措施合理，得10分。 (2)供货及安装周期进度计划一般、安装方案、调试方案无针对性及可操作性复杂，保障措施一般，得6分。 (3)供货及安装周期进度计划一般、无安装方案、无调试方案无针对性及可操作性较复杂，无保障措施，得2分。 (4)无供货及安装方案，得0分。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类似业绩(5分)</w:t>
            </w:r>
          </w:p>
        </w:tc>
        <w:tc>
          <w:tcPr>
            <w:tcW w:type="dxa" w:w="3115"/>
          </w:tcPr>
          <w:p>
            <w:pPr>
              <w:pStyle w:val="null5"/>
              <w:jc w:val="left"/>
            </w:pPr>
            <w:r>
              <w:rPr>
                <w:rFonts w:ascii="仿宋_GB2312" w:hAnsi="仿宋_GB2312" w:cs="仿宋_GB2312" w:eastAsia="仿宋_GB2312"/>
              </w:rPr>
              <w:t>供应商近年（2022年2月份至今）类似项目业绩，每提供一个类似业绩得1分，最高得5分。（注：提供合同或中标通知书）</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售后服务（12分）</w:t>
            </w:r>
          </w:p>
        </w:tc>
        <w:tc>
          <w:tcPr>
            <w:tcW w:type="dxa" w:w="3115"/>
          </w:tcPr>
          <w:p>
            <w:pPr>
              <w:pStyle w:val="null5"/>
              <w:jc w:val="left"/>
            </w:pPr>
            <w:r>
              <w:rPr>
                <w:rFonts w:ascii="仿宋_GB2312" w:hAnsi="仿宋_GB2312" w:cs="仿宋_GB2312" w:eastAsia="仿宋_GB2312"/>
              </w:rPr>
              <w:t>(1)售后服务内容、措施及承诺特别全面，合理、可行，故障响应时间、设备维护方案、售后服务点、服务人员、质保体系完善、保修期及培训等措施切合实际、针对性强。依情况，得12分； (2)售后服务内容、措施及承诺全面，合理、可行，故障响应时间、设备维护方案、售后服务点、服务人员、质保体系完善、保修期及培训等措施切合实际、针对性一般。依情况，得7分； (3)售后服务内容、措施及承诺一般，故障响应时间、设备维护方案、售后服务点、服务人员、质保体系完善、保修期及培训等措施不具体，情况得2分。 (4)无售后服务或服务体系与实际不相符，得0分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其他因素(3分)</w:t>
            </w:r>
          </w:p>
        </w:tc>
        <w:tc>
          <w:tcPr>
            <w:tcW w:type="dxa" w:w="3115"/>
          </w:tcPr>
          <w:p>
            <w:pPr>
              <w:pStyle w:val="null5"/>
              <w:jc w:val="left"/>
            </w:pPr>
            <w:r>
              <w:rPr>
                <w:rFonts w:ascii="仿宋_GB2312" w:hAnsi="仿宋_GB2312" w:cs="仿宋_GB2312" w:eastAsia="仿宋_GB2312"/>
              </w:rPr>
              <w:t>供应商具备并提供有效的质量管理、职业健康安全管理、环境管理体系认证证书的，每提供一个认证证书得1分，最多得3分；未提供0分。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技术响应程度(30分)</w:t>
            </w:r>
          </w:p>
        </w:tc>
        <w:tc>
          <w:tcPr>
            <w:tcW w:type="dxa" w:w="3115"/>
          </w:tcPr>
          <w:p>
            <w:pPr>
              <w:pStyle w:val="null5"/>
              <w:jc w:val="left"/>
            </w:pPr>
            <w:r>
              <w:rPr>
                <w:rFonts w:ascii="仿宋_GB2312" w:hAnsi="仿宋_GB2312" w:cs="仿宋_GB2312" w:eastAsia="仿宋_GB2312"/>
              </w:rPr>
              <w:t>所投产品技术参数是否响应招标文件技术要求：参数每有一处负偏离减3分，减完为止。 （须提供相关佐证文件如：推广鉴定报告、技术白皮书、检测报告、产品彩页等任意一项。不提供佐证文件的不得分）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质量保证及承诺（10分）</w:t>
            </w:r>
          </w:p>
        </w:tc>
        <w:tc>
          <w:tcPr>
            <w:tcW w:type="dxa" w:w="3115"/>
          </w:tcPr>
          <w:p>
            <w:pPr>
              <w:pStyle w:val="null5"/>
              <w:jc w:val="left"/>
            </w:pPr>
            <w:r>
              <w:rPr>
                <w:rFonts w:ascii="仿宋_GB2312" w:hAnsi="仿宋_GB2312" w:cs="仿宋_GB2312" w:eastAsia="仿宋_GB2312"/>
              </w:rPr>
              <w:t>(1)产品质量保证及承诺优，措施完善； 优:投标人提出的产品质量保证及承诺优，提出的产品质量保证期优于本次采购需求，有具体的违约责任承诺，并列出具体的保证措施且保证措施合理、有针对性、有可实施性，得10分； (2)质量保证及承诺良好； 良好:投标人提出的产品质量保证及承诺良好，提出的产品质量保证期满足本次采购需求，有违约责任承诺，并列出具体的保证措施且较合理的、可实施性一般，得6分； (3)质量保证及承诺一般； 一般:投标人提出的产品质量保证及承诺一般，提出的产品质量保证期满足本次采购需求,有违约责任承诺但不具体，列出的保证措施不合理的、可实施性较差得2分。 (4)无质量保证或内容与招标内容不相符； 无质量保证或保证内容与采购内容不相符，出现严重偏离的，得0分。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供货及安装方案（10分）</w:t>
            </w:r>
          </w:p>
        </w:tc>
        <w:tc>
          <w:tcPr>
            <w:tcW w:type="dxa" w:w="3115"/>
          </w:tcPr>
          <w:p>
            <w:pPr>
              <w:pStyle w:val="null5"/>
              <w:jc w:val="left"/>
            </w:pPr>
            <w:r>
              <w:rPr>
                <w:rFonts w:ascii="仿宋_GB2312" w:hAnsi="仿宋_GB2312" w:cs="仿宋_GB2312" w:eastAsia="仿宋_GB2312"/>
              </w:rPr>
              <w:t>(1)供货及安装周期进度计划合理、安装方案、调试方案具有针对性及可操作性强，保障措施合理，得10分。 (2)供货及安装周期进度计划一般、安装方案、调试方案无针对性及可操作性复杂，保障措施一般，得6分。 (3)供货及安装周期进度计划一般、无安装方案、无调试方案无针对性及可操作性较复杂，无保障措施，得2分。 (4)无供货及安装方案，得0分。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类似业绩(5分)</w:t>
            </w:r>
          </w:p>
        </w:tc>
        <w:tc>
          <w:tcPr>
            <w:tcW w:type="dxa" w:w="3115"/>
          </w:tcPr>
          <w:p>
            <w:pPr>
              <w:pStyle w:val="null5"/>
              <w:jc w:val="left"/>
            </w:pPr>
            <w:r>
              <w:rPr>
                <w:rFonts w:ascii="仿宋_GB2312" w:hAnsi="仿宋_GB2312" w:cs="仿宋_GB2312" w:eastAsia="仿宋_GB2312"/>
              </w:rPr>
              <w:t>供应商近年（2022年2月份至今）类似项目业绩，每提供一个类似业绩得1分，最高得5分。（注：提供合同或中标通知书）</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售后服务（12分）</w:t>
            </w:r>
          </w:p>
        </w:tc>
        <w:tc>
          <w:tcPr>
            <w:tcW w:type="dxa" w:w="3115"/>
          </w:tcPr>
          <w:p>
            <w:pPr>
              <w:pStyle w:val="null5"/>
              <w:jc w:val="left"/>
            </w:pPr>
            <w:r>
              <w:rPr>
                <w:rFonts w:ascii="仿宋_GB2312" w:hAnsi="仿宋_GB2312" w:cs="仿宋_GB2312" w:eastAsia="仿宋_GB2312"/>
              </w:rPr>
              <w:t>(1)售后服务内容、措施及承诺特别全面，合理、可行，故障响应时间、设备维护方案、售后服务点、服务人员、质保体系完善、保修期及培训等措施切合实际、针对性强。依情况，得12分； (2)售后服务内容、措施及承诺全面，合理、可行，故障响应时间、设备维护方案、售后服务点、服务人员、质保体系完善、保修期及培训等措施切合实际、针对性一般。依情况，得7分； (3)售后服务内容、措施及承诺一般，故障响应时间、设备维护方案、售后服务点、服务人员、质保体系完善、保修期及培训等措施不具体，情况得2分。 (4)无售后服务或服务体系与实际不相符，得0分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其他因素(3分)</w:t>
            </w:r>
          </w:p>
        </w:tc>
        <w:tc>
          <w:tcPr>
            <w:tcW w:type="dxa" w:w="3115"/>
          </w:tcPr>
          <w:p>
            <w:pPr>
              <w:pStyle w:val="null5"/>
              <w:jc w:val="left"/>
            </w:pPr>
            <w:r>
              <w:rPr>
                <w:rFonts w:ascii="仿宋_GB2312" w:hAnsi="仿宋_GB2312" w:cs="仿宋_GB2312" w:eastAsia="仿宋_GB2312"/>
              </w:rPr>
              <w:t>供应商具备并提供有效的质量管理、职业健康安全管理、环境管理体系认证证书的，每提供一个认证证书得1分，最多得3分；未提供0分。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技术响应程度(30分)</w:t>
            </w:r>
          </w:p>
        </w:tc>
        <w:tc>
          <w:tcPr>
            <w:tcW w:type="dxa" w:w="3115"/>
          </w:tcPr>
          <w:p>
            <w:pPr>
              <w:pStyle w:val="null5"/>
              <w:jc w:val="left"/>
            </w:pPr>
            <w:r>
              <w:rPr>
                <w:rFonts w:ascii="仿宋_GB2312" w:hAnsi="仿宋_GB2312" w:cs="仿宋_GB2312" w:eastAsia="仿宋_GB2312"/>
              </w:rPr>
              <w:t>所投产品技术参数是否响应招标文件技术要求：参数每有一处负偏离减3分，减完为止。 （须提供相关佐证文件如：推广鉴定报告、技术白皮书、检测报告、产品彩页等任意一项。不提供佐证文件的不得分）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质量保证及承诺（10分）</w:t>
            </w:r>
          </w:p>
        </w:tc>
        <w:tc>
          <w:tcPr>
            <w:tcW w:type="dxa" w:w="3115"/>
          </w:tcPr>
          <w:p>
            <w:pPr>
              <w:pStyle w:val="null5"/>
              <w:jc w:val="left"/>
            </w:pPr>
            <w:r>
              <w:rPr>
                <w:rFonts w:ascii="仿宋_GB2312" w:hAnsi="仿宋_GB2312" w:cs="仿宋_GB2312" w:eastAsia="仿宋_GB2312"/>
              </w:rPr>
              <w:t>(1)产品质量保证及承诺优，措施完善； 优:投标人提出的产品质量保证及承诺优，提出的产品质量保证期优于本次采购需求，有具体的违约责任承诺，并列出具体的保证措施且保证措施合理、有针对性、有可实施性，得10分； (2)质量保证及承诺良好； 良好:投标人提出的产品质量保证及承诺良好，提出的产品质量保证期满足本次采购需求，有违约责任承诺，并列出具体的保证措施且较合理的、可实施性一般，得6分； (3)质量保证及承诺一般； 一般:投标人提出的产品质量保证及承诺一般，提出的产品质量保证期满足本次采购需求,有违约责任承诺但不具体，列出的保证措施不合理的、可实施性较差得2分。 (4)无质量保证或内容与招标内容不相符； 无质量保证或保证内容与采购内容不相符，出现严重偏离的，得0分。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供货及安装方案（10分）</w:t>
            </w:r>
          </w:p>
        </w:tc>
        <w:tc>
          <w:tcPr>
            <w:tcW w:type="dxa" w:w="3115"/>
          </w:tcPr>
          <w:p>
            <w:pPr>
              <w:pStyle w:val="null5"/>
              <w:jc w:val="left"/>
            </w:pPr>
            <w:r>
              <w:rPr>
                <w:rFonts w:ascii="仿宋_GB2312" w:hAnsi="仿宋_GB2312" w:cs="仿宋_GB2312" w:eastAsia="仿宋_GB2312"/>
              </w:rPr>
              <w:t>(1)供货及安装周期进度计划合理、安装方案、调试方案具有针对性及可操作性强，保障措施合理，得10分。 (2)供货及安装周期进度计划一般、安装方案、调试方案无针对性及可操作性复杂，保障措施一般，得6分。 (3)供货及安装周期进度计划一般、无安装方案、无调试方案无针对性及可操作性较复杂，无保障措施，得2分。 (4)无供货及安装方案，得0分。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类似业绩(5分)</w:t>
            </w:r>
          </w:p>
        </w:tc>
        <w:tc>
          <w:tcPr>
            <w:tcW w:type="dxa" w:w="3115"/>
          </w:tcPr>
          <w:p>
            <w:pPr>
              <w:pStyle w:val="null5"/>
              <w:jc w:val="left"/>
            </w:pPr>
            <w:r>
              <w:rPr>
                <w:rFonts w:ascii="仿宋_GB2312" w:hAnsi="仿宋_GB2312" w:cs="仿宋_GB2312" w:eastAsia="仿宋_GB2312"/>
              </w:rPr>
              <w:t>供应商近年（2022年2月份至今）类似项目业绩，每提供一个类似业绩得1分，最高得5分。（注：提供合同或中标通知书）</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售后服务（12分）</w:t>
            </w:r>
          </w:p>
        </w:tc>
        <w:tc>
          <w:tcPr>
            <w:tcW w:type="dxa" w:w="3115"/>
          </w:tcPr>
          <w:p>
            <w:pPr>
              <w:pStyle w:val="null5"/>
              <w:jc w:val="left"/>
            </w:pPr>
            <w:r>
              <w:rPr>
                <w:rFonts w:ascii="仿宋_GB2312" w:hAnsi="仿宋_GB2312" w:cs="仿宋_GB2312" w:eastAsia="仿宋_GB2312"/>
              </w:rPr>
              <w:t>(1)售后服务内容、措施及承诺特别全面，合理、可行，故障响应时间、设备维护方案、售后服务点、服务人员、质保体系完善、保修期及培训等措施切合实际、针对性强。依情况，得12分； (2)售后服务内容、措施及承诺全面，合理、可行，故障响应时间、设备维护方案、售后服务点、服务人员、质保体系完善、保修期及培训等措施切合实际、针对性一般。依情况，得7分； (3)售后服务内容、措施及承诺一般，故障响应时间、设备维护方案、售后服务点、服务人员、质保体系完善、保修期及培训等措施不具体，情况得2分。 (4)无售后服务或服务体系与实际不相符，得0分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其他因素(3分)</w:t>
            </w:r>
          </w:p>
        </w:tc>
        <w:tc>
          <w:tcPr>
            <w:tcW w:type="dxa" w:w="3115"/>
          </w:tcPr>
          <w:p>
            <w:pPr>
              <w:pStyle w:val="null5"/>
              <w:jc w:val="left"/>
            </w:pPr>
            <w:r>
              <w:rPr>
                <w:rFonts w:ascii="仿宋_GB2312" w:hAnsi="仿宋_GB2312" w:cs="仿宋_GB2312" w:eastAsia="仿宋_GB2312"/>
              </w:rPr>
              <w:t>供应商具备并提供有效的质量管理、职业健康安全管理、环境管理体系认证证书的，每提供一个认证证书得1分，最多得3分；未提供0分。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技术响应程度(30分)</w:t>
            </w:r>
          </w:p>
        </w:tc>
        <w:tc>
          <w:tcPr>
            <w:tcW w:type="dxa" w:w="3115"/>
          </w:tcPr>
          <w:p>
            <w:pPr>
              <w:pStyle w:val="null5"/>
              <w:jc w:val="left"/>
            </w:pPr>
            <w:r>
              <w:rPr>
                <w:rFonts w:ascii="仿宋_GB2312" w:hAnsi="仿宋_GB2312" w:cs="仿宋_GB2312" w:eastAsia="仿宋_GB2312"/>
              </w:rPr>
              <w:t>所投产品技术参数是否响应招标文件技术要求：参数每有一处负偏离减3分，减完为止。 （须提供相关佐证文件如：推广鉴定报告、技术白皮书、检测报告、产品彩页等任意一项。不提供佐证文件的不得分）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质量保证及承诺（10分）</w:t>
            </w:r>
          </w:p>
        </w:tc>
        <w:tc>
          <w:tcPr>
            <w:tcW w:type="dxa" w:w="3115"/>
          </w:tcPr>
          <w:p>
            <w:pPr>
              <w:pStyle w:val="null5"/>
              <w:jc w:val="left"/>
            </w:pPr>
            <w:r>
              <w:rPr>
                <w:rFonts w:ascii="仿宋_GB2312" w:hAnsi="仿宋_GB2312" w:cs="仿宋_GB2312" w:eastAsia="仿宋_GB2312"/>
              </w:rPr>
              <w:t>(1)产品质量保证及承诺优，措施完善； 优:投标人提出的产品质量保证及承诺优，提出的产品质量保证期优于本次采购需求，有具体的违约责任承诺，并列出具体的保证措施且保证措施合理、有针对性、有可实施性，得10分； (2)质量保证及承诺良好； 良好:投标人提出的产品质量保证及承诺良好，提出的产品质量保证期满足本次采购需求，有违约责任承诺，并列出具体的保证措施且较合理的、可实施性一般，得6分； (3)质量保证及承诺一般； 一般:投标人提出的产品质量保证及承诺一般，提出的产品质量保证期满足本次采购需求,有违约责任承诺但不具体，列出的保证措施不合理的、可实施性较差得2分。 (4)无质量保证或内容与招标内容不相符； 无质量保证或保证内容与采购内容不相符，出现严重偏离的，得0分。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供货及安装方案（10分）</w:t>
            </w:r>
          </w:p>
        </w:tc>
        <w:tc>
          <w:tcPr>
            <w:tcW w:type="dxa" w:w="3115"/>
          </w:tcPr>
          <w:p>
            <w:pPr>
              <w:pStyle w:val="null5"/>
              <w:jc w:val="left"/>
            </w:pPr>
            <w:r>
              <w:rPr>
                <w:rFonts w:ascii="仿宋_GB2312" w:hAnsi="仿宋_GB2312" w:cs="仿宋_GB2312" w:eastAsia="仿宋_GB2312"/>
              </w:rPr>
              <w:t>(1)供货及安装周期进度计划合理、安装方案、调试方案具有针对性及可操作性强，保障措施合理，得10分。 (2)供货及安装周期进度计划一般、安装方案、调试方案无针对性及可操作性复杂，保障措施一般，得6分。 (3)供货及安装周期进度计划一般、无安装方案、无调试方案无针对性及可操作性较复杂，无保障措施，得2分。 (4)无供货及安装方案，得0分。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类似业绩(5分)</w:t>
            </w:r>
          </w:p>
        </w:tc>
        <w:tc>
          <w:tcPr>
            <w:tcW w:type="dxa" w:w="3115"/>
          </w:tcPr>
          <w:p>
            <w:pPr>
              <w:pStyle w:val="null5"/>
              <w:jc w:val="left"/>
            </w:pPr>
            <w:r>
              <w:rPr>
                <w:rFonts w:ascii="仿宋_GB2312" w:hAnsi="仿宋_GB2312" w:cs="仿宋_GB2312" w:eastAsia="仿宋_GB2312"/>
              </w:rPr>
              <w:t>供应商近年（2022年2月份至今）类似项目业绩，每提供一个类似业绩得1分，最高得5分。（注：提供合同或中标通知书）</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售后服务（12分）</w:t>
            </w:r>
          </w:p>
        </w:tc>
        <w:tc>
          <w:tcPr>
            <w:tcW w:type="dxa" w:w="3115"/>
          </w:tcPr>
          <w:p>
            <w:pPr>
              <w:pStyle w:val="null5"/>
              <w:jc w:val="left"/>
            </w:pPr>
            <w:r>
              <w:rPr>
                <w:rFonts w:ascii="仿宋_GB2312" w:hAnsi="仿宋_GB2312" w:cs="仿宋_GB2312" w:eastAsia="仿宋_GB2312"/>
              </w:rPr>
              <w:t>(1)售后服务内容、措施及承诺特别全面，合理、可行，故障响应时间、设备维护方案、售后服务点、服务人员、质保体系完善、保修期及培训等措施切合实际、针对性强。依情况，得12分； (2)售后服务内容、措施及承诺全面，合理、可行，故障响应时间、设备维护方案、售后服务点、服务人员、质保体系完善、保修期及培训等措施切合实际、针对性一般。依情况，得7分； (3)售后服务内容、措施及承诺一般，故障响应时间、设备维护方案、售后服务点、服务人员、质保体系完善、保修期及培训等措施不具体，情况得2分。 (4)无售后服务或服务体系与实际不相符，得0分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其他因素(3分)</w:t>
            </w:r>
          </w:p>
        </w:tc>
        <w:tc>
          <w:tcPr>
            <w:tcW w:type="dxa" w:w="3115"/>
          </w:tcPr>
          <w:p>
            <w:pPr>
              <w:pStyle w:val="null5"/>
              <w:jc w:val="left"/>
            </w:pPr>
            <w:r>
              <w:rPr>
                <w:rFonts w:ascii="仿宋_GB2312" w:hAnsi="仿宋_GB2312" w:cs="仿宋_GB2312" w:eastAsia="仿宋_GB2312"/>
              </w:rPr>
              <w:t>供应商具备并提供有效的质量管理、职业健康安全管理、环境管理体系认证证书的，每提供一个认证证书得1分，最多得3分；未提供0分。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