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库伦旗2024年绿色高产高效项目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竞争性谈判文件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库伦旗农牧和科技局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泾清项目管理有限公司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KLQZCS-J-H-250005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jc w:val="left"/>
      </w:pPr>
      <w:r>
        <w:rPr>
          <w:rFonts w:ascii="仿宋_GB2312" w:hAnsi="仿宋_GB2312" w:cs="仿宋_GB2312" w:eastAsia="仿宋_GB2312"/>
        </w:rPr>
        <w:t>第一章 谈判邀请</w:t>
      </w:r>
    </w:p>
    <w:p>
      <w:pPr>
        <w:pStyle w:val="null5"/>
        <w:jc w:val="left"/>
      </w:pPr>
      <w:r>
        <w:rPr>
          <w:rFonts w:ascii="仿宋_GB2312" w:hAnsi="仿宋_GB2312" w:cs="仿宋_GB2312" w:eastAsia="仿宋_GB2312"/>
        </w:rPr>
        <w:t>第二章 供应商须知</w:t>
      </w:r>
    </w:p>
    <w:p>
      <w:pPr>
        <w:pStyle w:val="null5"/>
        <w:jc w:val="left"/>
      </w:pPr>
      <w:r>
        <w:rPr>
          <w:rFonts w:ascii="仿宋_GB2312" w:hAnsi="仿宋_GB2312" w:cs="仿宋_GB2312" w:eastAsia="仿宋_GB2312"/>
        </w:rPr>
        <w:t>第三章 采购内容与技术要求</w:t>
      </w:r>
    </w:p>
    <w:p>
      <w:pPr>
        <w:pStyle w:val="null5"/>
        <w:jc w:val="left"/>
      </w:pPr>
      <w:r>
        <w:rPr>
          <w:rFonts w:ascii="仿宋_GB2312" w:hAnsi="仿宋_GB2312" w:cs="仿宋_GB2312" w:eastAsia="仿宋_GB2312"/>
        </w:rPr>
        <w:t>第四章 供应商资格证明及相关文件要求</w:t>
      </w:r>
    </w:p>
    <w:p>
      <w:pPr>
        <w:pStyle w:val="null5"/>
        <w:jc w:val="left"/>
      </w:pPr>
      <w:r>
        <w:rPr>
          <w:rFonts w:ascii="仿宋_GB2312" w:hAnsi="仿宋_GB2312" w:cs="仿宋_GB2312" w:eastAsia="仿宋_GB2312"/>
        </w:rPr>
        <w:t>第五章 评审</w:t>
      </w:r>
    </w:p>
    <w:p>
      <w:pPr>
        <w:pStyle w:val="null5"/>
        <w:jc w:val="left"/>
      </w:pPr>
      <w:r>
        <w:rPr>
          <w:rFonts w:ascii="仿宋_GB2312" w:hAnsi="仿宋_GB2312" w:cs="仿宋_GB2312" w:eastAsia="仿宋_GB2312"/>
        </w:rPr>
        <w:t>第六章 合同与验收</w:t>
      </w:r>
    </w:p>
    <w:p>
      <w:pPr>
        <w:pStyle w:val="null5"/>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谈判邀请</w:t>
      </w:r>
    </w:p>
    <w:p>
      <w:pPr>
        <w:pStyle w:val="null5"/>
        <w:ind w:firstLine="480"/>
        <w:jc w:val="left"/>
      </w:pPr>
      <w:r>
        <w:rPr>
          <w:rFonts w:ascii="仿宋_GB2312" w:hAnsi="仿宋_GB2312" w:cs="仿宋_GB2312" w:eastAsia="仿宋_GB2312"/>
        </w:rPr>
        <w:t>泾清项目管理有限公司</w:t>
      </w:r>
      <w:r>
        <w:rPr>
          <w:rFonts w:ascii="仿宋_GB2312" w:hAnsi="仿宋_GB2312" w:cs="仿宋_GB2312" w:eastAsia="仿宋_GB2312"/>
        </w:rPr>
        <w:t xml:space="preserve"> 受 </w:t>
      </w:r>
      <w:r>
        <w:rPr>
          <w:rFonts w:ascii="仿宋_GB2312" w:hAnsi="仿宋_GB2312" w:cs="仿宋_GB2312" w:eastAsia="仿宋_GB2312"/>
        </w:rPr>
        <w:t>库伦旗农牧和科技局</w:t>
      </w:r>
      <w:r>
        <w:rPr>
          <w:rFonts w:ascii="仿宋_GB2312" w:hAnsi="仿宋_GB2312" w:cs="仿宋_GB2312" w:eastAsia="仿宋_GB2312"/>
        </w:rPr>
        <w:t xml:space="preserve"> 委托，采用竞争性谈判方式组织采购 </w:t>
      </w:r>
      <w:r>
        <w:rPr>
          <w:rFonts w:ascii="仿宋_GB2312" w:hAnsi="仿宋_GB2312" w:cs="仿宋_GB2312" w:eastAsia="仿宋_GB2312"/>
        </w:rPr>
        <w:t>库伦旗2024年绿色高产高效项目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库伦旗2024年绿色高产高效项目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KLQZCS-J-H-250005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150524[2025]00052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1,954,400.00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技术物化投入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1,614,400.00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社会化服务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技术指导服务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三.获取谈判文件的时间、地点、方式</w:t>
      </w:r>
    </w:p>
    <w:p>
      <w:pPr>
        <w:pStyle w:val="null5"/>
        <w:ind w:firstLine="480"/>
        <w:jc w:val="left"/>
      </w:pPr>
      <w:r>
        <w:rPr>
          <w:rFonts w:ascii="仿宋_GB2312" w:hAnsi="仿宋_GB2312" w:cs="仿宋_GB2312" w:eastAsia="仿宋_GB2312"/>
        </w:rPr>
        <w:t>详见竞争性谈判公告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四.谈判文件售价</w:t>
      </w:r>
    </w:p>
    <w:p>
      <w:pPr>
        <w:pStyle w:val="null5"/>
        <w:ind w:firstLine="480"/>
        <w:jc w:val="left"/>
      </w:pPr>
      <w:r>
        <w:rPr>
          <w:rFonts w:ascii="仿宋_GB2312" w:hAnsi="仿宋_GB2312" w:cs="仿宋_GB2312" w:eastAsia="仿宋_GB2312"/>
        </w:rPr>
        <w:t>本次谈判文件的售价为0元人民币。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详见竞争性谈判公告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泾清项目管理有限公司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通辽市经济技术开发区京汉七号院南门西侧B2区二楼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13327051514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库伦旗农牧和科技局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库伦旗新区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李堂辉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15247547778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竞争性谈判</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 xml:space="preserve"> 根据质量和服务均能满足采购文件实质性响应要求且最后报价最低的原则确定成交供应商。</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获取谈判文件时间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详见竞争性谈判公告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代理服务费收费标准：参照内工建协（2022）34号文件的取费标准计算后下浮5%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4372"/>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是否专门面向中小企业采购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优化营商环境政策，1.优化流程服务，压减办理时限。即：严格执行《通辽市政府采购“一压三降”工作方案》相关规定，推行政府采购“4个1日办”，即:采购代理机构评审结束后 1日内将评审报告送交采购人; 采购人收到评审报告后1日内确定采购结果，向中标单位发出中标或成交通知书;合同签订后1日内完成合同备案: 采购人在供应商提出验收申请 1个工作日内完成验收；合同签订时间压缩至10日／7个工作日内（以实际最优计算）；投诉处理从接到投诉后10个工作日内做出处理。切实加快采购项目执行；2.推进府购合同融资“政采贷”政策：凡在自治区政府采购“云平台"注册成为供应商的中小企业，可凭政府采购合同，通过政府采购“云平台"上的“政府采购金融服务"模块，直接向有关银行机构申请融资贷款。提供服务的银行机构不得要求中小企业提供财产质押、第三方担保或附加其它任何形式的担保条件；3.双向承诺：严格落实通财购〔2023〕195号 关于印发《通辽市政府采购“双向承诺+信用管理”工作方案》的通知；4.采购人严格按照《通辽市财政局关于进一步规范政府采购项目履约验收工作的通知》要求，及时履约验收；5.采购人在收到发票后1个工作日内将资金支付到供应商账户，特种商品或合同另有约定的除外，最长不超过5个工作日；6.投标企业可选择使用金融产品替代投标保证金或履约保证金。</w:t>
            </w:r>
          </w:p>
        </w:tc>
      </w:tr>
    </w:tbl>
    <w:p>
      <w:pPr>
        <w:pStyle w:val="null5"/>
        <w:jc w:val="left"/>
        <w:outlineLvl w:val="2"/>
      </w:pPr>
      <w:r>
        <w:rPr>
          <w:rFonts w:ascii="仿宋_GB2312" w:hAnsi="仿宋_GB2312" w:cs="仿宋_GB2312" w:eastAsia="仿宋_GB2312"/>
          <w:sz w:val="28"/>
          <w:b/>
        </w:rPr>
        <w:t>二.谈判须知</w:t>
      </w:r>
    </w:p>
    <w:p>
      <w:pPr>
        <w:pStyle w:val="null5"/>
        <w:ind w:firstLine="480"/>
        <w:jc w:val="left"/>
      </w:pPr>
      <w:r>
        <w:rPr>
          <w:rFonts w:ascii="仿宋_GB2312" w:hAnsi="仿宋_GB2312" w:cs="仿宋_GB2312" w:eastAsia="仿宋_GB2312"/>
        </w:rPr>
        <w:t>1.竞争性谈判采取网上响应方式，操作流程如下：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谈判文件，并按照谈判文件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已提交响应文件的供应商，在提交最后报价之前，可以根据谈判情况退出谈判。采购人、采购代理机构应当退还退出谈判的供应商的保证金。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（3）除因不可抗力或谈判文件认可的情形以外，成交供应商不与采购人签订合同的；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供应商的法定代表人或其授权代表应当按照本项目竞争性谈判公告载明的时间等要求参加竞争性谈判，在响应文件开启时间前30分钟，应当提前登录电子交易系统确认联系人姓名与联系电话。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竞争性谈判公告载明的时间和地点参加竞争性谈判。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（2）供应商未按谈判文件要求提供“备用标书”的；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本谈判文件依据《中华人民共和国政府采购法》《中华人民共和国政府采购法实施条例》和《政府采购非招标采购方式管理办法》（财政部令第74号）及国家和自治区有关法律、法规、规章制度编制。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供应商应仔细阅读本项目信息公告及谈判文件的所有内容（包括澄清或者修改），按照谈判文件要求以及格式编制响应文件，并保证其真实性，否则一切后果自负。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本谈判文件仅适用于本次竞争性谈判公告中所涉及的项目和内容。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供应商应承担所有与准备和参加竞争性谈判有关的费用。不论竞争性谈判结果如何，采购人或采购代理机构均无义务和责任承担相关费用。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4.1“采购人”是指依法进行政府采购的国家机关、事业单位、团体组织。本谈判文件的采购人特指 </w:t>
      </w:r>
      <w:r>
        <w:rPr>
          <w:rFonts w:ascii="仿宋_GB2312" w:hAnsi="仿宋_GB2312" w:cs="仿宋_GB2312" w:eastAsia="仿宋_GB2312"/>
        </w:rPr>
        <w:t>库伦旗农牧和科技局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4.2“采购代理机构”是指集中采购机构和集中采购机构以外的采购代理机构。本谈判文件的采购代理机构特指 </w:t>
      </w:r>
      <w:r>
        <w:rPr>
          <w:rFonts w:ascii="仿宋_GB2312" w:hAnsi="仿宋_GB2312" w:cs="仿宋_GB2312" w:eastAsia="仿宋_GB2312"/>
        </w:rPr>
        <w:t>泾清项目管理有限公司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4.4“谈判小组”由采购人代表和评审专家组成。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5.1符合本谈判文件规定的资格要求，并按照要求提供相关证明材料。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四.谈判文件的澄清或者修改</w:t>
      </w:r>
    </w:p>
    <w:p>
      <w:pPr>
        <w:pStyle w:val="null5"/>
        <w:ind w:firstLine="480"/>
        <w:jc w:val="left"/>
      </w:pPr>
      <w:r>
        <w:rPr>
          <w:rFonts w:ascii="仿宋_GB2312" w:hAnsi="仿宋_GB2312" w:cs="仿宋_GB2312" w:eastAsia="仿宋_GB2312"/>
        </w:rPr>
        <w:t>提交首次响应文件截止之日前，采购人、采购代理机构或者谈判小组可以对已发出的谈判文件进行必要的澄清或者修改，澄清或者修改的内容作为谈判文件的组成部分。澄清或者修改的内容可能影响响应文件编制的，采购人、采购代理机构或者谈判小组应当在提交首次响应文件截止之日3个工作日前，在“内蒙古自治区政府采购网”上发布更正公告进行通知，不足3个工作日的，应当顺延提交首次响应文件截止之日。更正公告的内容为谈判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响应文件应按照谈判文件第七章“响应文件格式与要求”进行编写，可以增加附页，并作为响应文件的组成部分。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2.1供应商应按照第三章“采购内容与技术要求”进行报价。报价中不得包含谈判文件要求以外的内容，否则，在评审时不予核减。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4.样品</w:t>
      </w:r>
    </w:p>
    <w:p>
      <w:pPr>
        <w:pStyle w:val="null5"/>
        <w:ind w:firstLine="480"/>
        <w:jc w:val="left"/>
      </w:pPr>
      <w:r>
        <w:rPr>
          <w:rFonts w:ascii="仿宋_GB2312" w:hAnsi="仿宋_GB2312" w:cs="仿宋_GB2312" w:eastAsia="仿宋_GB2312"/>
        </w:rPr>
        <w:t>4.1谈判文件规定供应商提交样品的，样品属于响应文件的组成部分。样品的生产、运输、安装、保全等一切费用由供应商自理。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4.2响应文件开启前，供应商应将样品送达至指定地点，按要求摆放并做好展示。若需要现场演示的，供应商应提前做好演示准备（包括演示设备）。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4.3采购活动结束后，对于未成交供应商提供的样品，应当及时退还或者经未成交供应商同意后自行处理；对于成交供应商提供的样品，应当按照谈判文件的规定进行保管、封存，并作为履约验收的参考。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（3）供应商对已提交的加密文件进行解密，由采购人或者采购代理机构工作人员宣布供应商名称和谈判文件规定需要宣布的其他内容；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r>
        <w:br/>
      </w:r>
      <w:r>
        <w:rPr>
          <w:rFonts w:ascii="仿宋_GB2312" w:hAnsi="仿宋_GB2312" w:cs="仿宋_GB2312" w:eastAsia="仿宋_GB2312"/>
        </w:rPr>
        <w:t xml:space="preserve"> 接收质疑函的联系部门、联系电话、通讯地址（详见第一章 谈判邀请）。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库伦旗2024年绿色高产高效项目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根据甲方通知要求完成相应工作。</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1、合同签订后5个工作日内支付30%预付款。，达到付款条件起1日，支付合同总金额的30.00%</w:t>
            </w:r>
          </w:p>
          <w:p>
            <w:pPr>
              <w:pStyle w:val="null5"/>
              <w:jc w:val="left"/>
            </w:pPr>
            <w:r>
              <w:rPr>
                <w:rFonts w:ascii="仿宋_GB2312" w:hAnsi="仿宋_GB2312" w:cs="仿宋_GB2312" w:eastAsia="仿宋_GB2312"/>
              </w:rPr>
              <w:t>2、按项目进度验收合格后支付。，达到付款条件起1日，支付合同总金额的70.00%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投标有效期：从提交投标（响应）文件的截止之日起90日历天</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1、期次1，说明：符合国家及行业相关标准并通过第三方检测机构检测。</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采购人有权在签订合同前要求中标供应商提供相关证明材料以核实中标供应商承诺事项的真实性。相关证明材料包括： 1.供应商有效的营业执照或事业单位法人证书或执业许可证或自然人的身份证明。 2.投标人2023或2024年度经会计师事务所出具的财务审计报告或其基本开户银行出具的近一</w:t>
              <w:br/>
              <w:t>年内的银行资信证明。 3.提供递交投标文件截止之日前一年内（至少一个月）的良好缴纳税收的相关凭据。（以税务机关提供的纳税凭据或银行入账单为准） 4.提供递交响应文件截止之日前一年内（至少一个月）缴纳社会保险的凭证。（以专用收据或社会保险缴纳清单为准） 5.到提交响应文件的截止时间，供应商未被列入失信被执行人、重大税收违法案件当事人名单、政府采购严重违法失信行为记录名单。 注：其他组织和自然人也需要提供缴纳税收的</w:t>
              <w:br/>
              <w:t>凭据金额缴纳社保的凭据。依法免税或不需要缴纳社会保障资金的供应商，应提供相应文件证明其依法免税或不需要缴纳社会保障资金。</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标的名称：技术物化投入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磷酸二铵</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66</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P2O5</w:t>
            </w:r>
            <w:r>
              <w:rPr>
                <w:rFonts w:ascii="仿宋_GB2312" w:hAnsi="仿宋_GB2312" w:cs="仿宋_GB2312" w:eastAsia="仿宋_GB2312"/>
                <w:sz w:val="21"/>
              </w:rPr>
              <w:t>含量≥</w:t>
            </w:r>
            <w:r>
              <w:rPr>
                <w:rFonts w:ascii="仿宋_GB2312" w:hAnsi="仿宋_GB2312" w:cs="仿宋_GB2312" w:eastAsia="仿宋_GB2312"/>
                <w:sz w:val="21"/>
              </w:rPr>
              <w:t>46%</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硫酸钾</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48</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K2O</w:t>
            </w:r>
            <w:r>
              <w:rPr>
                <w:rFonts w:ascii="仿宋_GB2312" w:hAnsi="仿宋_GB2312" w:cs="仿宋_GB2312" w:eastAsia="仿宋_GB2312"/>
                <w:sz w:val="21"/>
              </w:rPr>
              <w:t>含量≥</w:t>
            </w:r>
            <w:r>
              <w:rPr>
                <w:rFonts w:ascii="仿宋_GB2312" w:hAnsi="仿宋_GB2312" w:cs="仿宋_GB2312" w:eastAsia="仿宋_GB2312"/>
                <w:sz w:val="21"/>
              </w:rPr>
              <w:t>50%</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尿素</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105</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，水溶</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氯化钾</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21</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K2O</w:t>
            </w:r>
            <w:r>
              <w:rPr>
                <w:rFonts w:ascii="仿宋_GB2312" w:hAnsi="仿宋_GB2312" w:cs="仿宋_GB2312" w:eastAsia="仿宋_GB2312"/>
                <w:sz w:val="21"/>
              </w:rPr>
              <w:t>含量≥</w:t>
            </w:r>
            <w:r>
              <w:rPr>
                <w:rFonts w:ascii="仿宋_GB2312" w:hAnsi="仿宋_GB2312" w:cs="仿宋_GB2312" w:eastAsia="仿宋_GB2312"/>
                <w:sz w:val="21"/>
              </w:rPr>
              <w:t>60%</w:t>
            </w:r>
            <w:r>
              <w:rPr>
                <w:rFonts w:ascii="仿宋_GB2312" w:hAnsi="仿宋_GB2312" w:cs="仿宋_GB2312" w:eastAsia="仿宋_GB2312"/>
                <w:sz w:val="21"/>
              </w:rPr>
              <w:t>，晶体、水溶</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水溶肥</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100</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K2O</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，水溶</w:t>
            </w:r>
          </w:p>
          <w:p>
            <w:pPr>
              <w:pStyle w:val="null5"/>
              <w:jc w:val="both"/>
            </w:pPr>
            <w:r>
              <w:rPr>
                <w:rFonts w:ascii="仿宋_GB2312" w:hAnsi="仿宋_GB2312" w:cs="仿宋_GB2312" w:eastAsia="仿宋_GB2312"/>
                <w:sz w:val="21"/>
              </w:rPr>
              <w:t>提供有效的《肥料登记证》或相关部门备案证明材料（代理商可提供厂家登记证或相关部门备案证明材料）</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叶面肥、生长调节剂</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10000</w:t>
            </w:r>
            <w:r>
              <w:rPr>
                <w:rFonts w:ascii="仿宋_GB2312" w:hAnsi="仿宋_GB2312" w:cs="仿宋_GB2312" w:eastAsia="仿宋_GB2312"/>
                <w:sz w:val="21"/>
              </w:rPr>
              <w:t>套（按要求配比）</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0.01%</w:t>
            </w:r>
            <w:r>
              <w:rPr>
                <w:rFonts w:ascii="仿宋_GB2312" w:hAnsi="仿宋_GB2312" w:cs="仿宋_GB2312" w:eastAsia="仿宋_GB2312"/>
                <w:sz w:val="21"/>
              </w:rPr>
              <w:t>芸苔素内酯</w:t>
            </w:r>
            <w:r>
              <w:rPr>
                <w:rFonts w:ascii="仿宋_GB2312" w:hAnsi="仿宋_GB2312" w:cs="仿宋_GB2312" w:eastAsia="仿宋_GB2312"/>
                <w:sz w:val="21"/>
              </w:rPr>
              <w:t>12m1+8%</w:t>
            </w:r>
            <w:r>
              <w:rPr>
                <w:rFonts w:ascii="仿宋_GB2312" w:hAnsi="仿宋_GB2312" w:cs="仿宋_GB2312" w:eastAsia="仿宋_GB2312"/>
                <w:sz w:val="21"/>
              </w:rPr>
              <w:t>胺鲜酯</w:t>
            </w:r>
          </w:p>
          <w:p>
            <w:pPr>
              <w:pStyle w:val="null5"/>
              <w:jc w:val="both"/>
            </w:pPr>
            <w:r>
              <w:rPr>
                <w:rFonts w:ascii="仿宋_GB2312" w:hAnsi="仿宋_GB2312" w:cs="仿宋_GB2312" w:eastAsia="仿宋_GB2312"/>
                <w:sz w:val="21"/>
              </w:rPr>
              <w:t>30m1+</w:t>
            </w:r>
            <w:r>
              <w:rPr>
                <w:rFonts w:ascii="仿宋_GB2312" w:hAnsi="仿宋_GB2312" w:cs="仿宋_GB2312" w:eastAsia="仿宋_GB2312"/>
                <w:sz w:val="21"/>
              </w:rPr>
              <w:t>磷酸二氢钾</w:t>
            </w:r>
            <w:r>
              <w:rPr>
                <w:rFonts w:ascii="仿宋_GB2312" w:hAnsi="仿宋_GB2312" w:cs="仿宋_GB2312" w:eastAsia="仿宋_GB2312"/>
                <w:sz w:val="21"/>
              </w:rPr>
              <w:t>150g</w:t>
            </w:r>
          </w:p>
          <w:p>
            <w:pPr>
              <w:pStyle w:val="null5"/>
              <w:jc w:val="both"/>
            </w:pPr>
            <w:r>
              <w:rPr>
                <w:rFonts w:ascii="仿宋_GB2312" w:hAnsi="仿宋_GB2312" w:cs="仿宋_GB2312" w:eastAsia="仿宋_GB2312"/>
                <w:sz w:val="21"/>
              </w:rPr>
              <w:t>其中胺鲜酯需要提供农药登记证</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荞麦底肥</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46</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N</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P2O5</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K2O</w:t>
            </w:r>
            <w:r>
              <w:rPr>
                <w:rFonts w:ascii="仿宋_GB2312" w:hAnsi="仿宋_GB2312" w:cs="仿宋_GB2312" w:eastAsia="仿宋_GB2312"/>
                <w:sz w:val="21"/>
              </w:rPr>
              <w:t>≥</w:t>
            </w:r>
            <w:r>
              <w:rPr>
                <w:rFonts w:ascii="仿宋_GB2312" w:hAnsi="仿宋_GB2312" w:cs="仿宋_GB2312" w:eastAsia="仿宋_GB2312"/>
                <w:sz w:val="21"/>
              </w:rPr>
              <w:t>17%</w:t>
            </w:r>
          </w:p>
          <w:p>
            <w:pPr>
              <w:pStyle w:val="null5"/>
              <w:jc w:val="both"/>
            </w:pPr>
            <w:r>
              <w:rPr>
                <w:rFonts w:ascii="仿宋_GB2312" w:hAnsi="仿宋_GB2312" w:cs="仿宋_GB2312" w:eastAsia="仿宋_GB2312"/>
                <w:sz w:val="21"/>
              </w:rPr>
              <w:t>提供有效的《肥料登记证》或相关部门备案证明材料（代理商可提供厂家登记证或相关部门备案证明材料）</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硫酸钾</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16</w:t>
            </w:r>
            <w:r>
              <w:rPr>
                <w:rFonts w:ascii="仿宋_GB2312" w:hAnsi="仿宋_GB2312" w:cs="仿宋_GB2312" w:eastAsia="仿宋_GB2312"/>
                <w:sz w:val="21"/>
              </w:rPr>
              <w:t>吨</w:t>
            </w:r>
          </w:p>
          <w:p>
            <w:pPr>
              <w:pStyle w:val="null5"/>
              <w:jc w:val="both"/>
            </w:pPr>
            <w:r>
              <w:rPr>
                <w:rFonts w:ascii="仿宋_GB2312" w:hAnsi="仿宋_GB2312" w:cs="仿宋_GB2312" w:eastAsia="仿宋_GB2312"/>
                <w:sz w:val="21"/>
              </w:rPr>
              <w:t>规格与含量：</w:t>
            </w:r>
            <w:r>
              <w:rPr>
                <w:rFonts w:ascii="仿宋_GB2312" w:hAnsi="仿宋_GB2312" w:cs="仿宋_GB2312" w:eastAsia="仿宋_GB2312"/>
                <w:sz w:val="21"/>
              </w:rPr>
              <w:t>K2O</w:t>
            </w:r>
            <w:r>
              <w:rPr>
                <w:rFonts w:ascii="仿宋_GB2312" w:hAnsi="仿宋_GB2312" w:cs="仿宋_GB2312" w:eastAsia="仿宋_GB2312"/>
                <w:sz w:val="21"/>
              </w:rPr>
              <w:t>含量≥</w:t>
            </w:r>
            <w:r>
              <w:rPr>
                <w:rFonts w:ascii="仿宋_GB2312" w:hAnsi="仿宋_GB2312" w:cs="仿宋_GB2312" w:eastAsia="仿宋_GB2312"/>
                <w:sz w:val="21"/>
              </w:rPr>
              <w:t>50%</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赤眼蜂球</w:t>
            </w:r>
          </w:p>
          <w:p>
            <w:pPr>
              <w:pStyle w:val="null5"/>
              <w:jc w:val="both"/>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单位：</w:t>
            </w:r>
            <w:r>
              <w:rPr>
                <w:rFonts w:ascii="仿宋_GB2312" w:hAnsi="仿宋_GB2312" w:cs="仿宋_GB2312" w:eastAsia="仿宋_GB2312"/>
                <w:sz w:val="21"/>
              </w:rPr>
              <w:t>68000</w:t>
            </w:r>
            <w:r>
              <w:rPr>
                <w:rFonts w:ascii="仿宋_GB2312" w:hAnsi="仿宋_GB2312" w:cs="仿宋_GB2312" w:eastAsia="仿宋_GB2312"/>
                <w:sz w:val="21"/>
              </w:rPr>
              <w:t>个（防治玉米螟）</w:t>
            </w:r>
          </w:p>
          <w:p>
            <w:pPr>
              <w:pStyle w:val="null5"/>
              <w:jc w:val="both"/>
            </w:pPr>
            <w:r>
              <w:rPr>
                <w:rFonts w:ascii="仿宋_GB2312" w:hAnsi="仿宋_GB2312" w:cs="仿宋_GB2312" w:eastAsia="仿宋_GB2312"/>
                <w:sz w:val="21"/>
              </w:rPr>
              <w:t>规格与含量：直径</w:t>
            </w:r>
            <w:r>
              <w:rPr>
                <w:rFonts w:ascii="仿宋_GB2312" w:hAnsi="仿宋_GB2312" w:cs="仿宋_GB2312" w:eastAsia="仿宋_GB2312"/>
                <w:sz w:val="21"/>
              </w:rPr>
              <w:t>3.5cm</w:t>
            </w:r>
            <w:r>
              <w:rPr>
                <w:rFonts w:ascii="仿宋_GB2312" w:hAnsi="仿宋_GB2312" w:cs="仿宋_GB2312" w:eastAsia="仿宋_GB2312"/>
                <w:sz w:val="21"/>
              </w:rPr>
              <w:t>，</w:t>
            </w:r>
            <w:r>
              <w:rPr>
                <w:rFonts w:ascii="仿宋_GB2312" w:hAnsi="仿宋_GB2312" w:cs="仿宋_GB2312" w:eastAsia="仿宋_GB2312"/>
                <w:sz w:val="21"/>
              </w:rPr>
              <w:t>5000</w:t>
            </w:r>
            <w:r>
              <w:rPr>
                <w:rFonts w:ascii="仿宋_GB2312" w:hAnsi="仿宋_GB2312" w:cs="仿宋_GB2312" w:eastAsia="仿宋_GB2312"/>
                <w:sz w:val="21"/>
              </w:rPr>
              <w:t>只蜂卵</w:t>
            </w:r>
            <w:r>
              <w:rPr>
                <w:rFonts w:ascii="仿宋_GB2312" w:hAnsi="仿宋_GB2312" w:cs="仿宋_GB2312" w:eastAsia="仿宋_GB2312"/>
                <w:sz w:val="21"/>
              </w:rPr>
              <w:t>/</w:t>
            </w:r>
            <w:r>
              <w:rPr>
                <w:rFonts w:ascii="仿宋_GB2312" w:hAnsi="仿宋_GB2312" w:cs="仿宋_GB2312" w:eastAsia="仿宋_GB2312"/>
                <w:sz w:val="21"/>
              </w:rPr>
              <w:t>球，</w:t>
            </w:r>
          </w:p>
          <w:p>
            <w:pPr>
              <w:pStyle w:val="null5"/>
              <w:jc w:val="both"/>
            </w:pPr>
            <w:r>
              <w:rPr>
                <w:rFonts w:ascii="仿宋_GB2312" w:hAnsi="仿宋_GB2312" w:cs="仿宋_GB2312" w:eastAsia="仿宋_GB2312"/>
                <w:sz w:val="21"/>
              </w:rPr>
              <w:t>羽化率</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，寄生率≥</w:t>
            </w:r>
            <w:r>
              <w:rPr>
                <w:rFonts w:ascii="仿宋_GB2312" w:hAnsi="仿宋_GB2312" w:cs="仿宋_GB2312" w:eastAsia="仿宋_GB2312"/>
                <w:sz w:val="21"/>
              </w:rPr>
              <w:t>95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其它要求：</w:t>
            </w:r>
          </w:p>
          <w:p>
            <w:pPr>
              <w:pStyle w:val="null5"/>
              <w:jc w:val="both"/>
            </w:pPr>
            <w:r>
              <w:rPr>
                <w:rFonts w:ascii="仿宋_GB2312" w:hAnsi="仿宋_GB2312" w:cs="仿宋_GB2312" w:eastAsia="仿宋_GB2312"/>
                <w:sz w:val="21"/>
              </w:rPr>
              <w:t>10.1</w:t>
            </w:r>
            <w:r>
              <w:rPr>
                <w:rFonts w:ascii="仿宋_GB2312" w:hAnsi="仿宋_GB2312" w:cs="仿宋_GB2312" w:eastAsia="仿宋_GB2312"/>
                <w:sz w:val="21"/>
              </w:rPr>
              <w:t>为保证产品质量中标单位所供肥料为无机械杂质产品；</w:t>
            </w:r>
          </w:p>
          <w:p>
            <w:pPr>
              <w:pStyle w:val="null5"/>
              <w:jc w:val="both"/>
            </w:pPr>
            <w:r>
              <w:rPr>
                <w:rFonts w:ascii="仿宋_GB2312" w:hAnsi="仿宋_GB2312" w:cs="仿宋_GB2312" w:eastAsia="仿宋_GB2312"/>
                <w:sz w:val="21"/>
              </w:rPr>
              <w:t>10.2</w:t>
            </w:r>
            <w:r>
              <w:rPr>
                <w:rFonts w:ascii="仿宋_GB2312" w:hAnsi="仿宋_GB2312" w:cs="仿宋_GB2312" w:eastAsia="仿宋_GB2312"/>
                <w:sz w:val="21"/>
              </w:rPr>
              <w:t>供货单位需将货物送往采购人要求的乡镇或嘎查村。供货时须提供肥料检验报告原件或复印件，且检验结果符合招标要求，如不能满足本次采购需求或未按规定时间供货将终止合同履行，造成的经济损失由中标单位全部责任。</w:t>
            </w:r>
          </w:p>
        </w:tc>
      </w:tr>
    </w:tbl>
    <w:p>
      <w:pPr>
        <w:pStyle w:val="null5"/>
        <w:jc w:val="left"/>
      </w:pPr>
      <w:r>
        <w:rPr>
          <w:rFonts w:ascii="仿宋_GB2312" w:hAnsi="仿宋_GB2312" w:cs="仿宋_GB2312" w:eastAsia="仿宋_GB2312"/>
        </w:rPr>
        <w:t>标的名称：社会化服务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荞麦示范区精细整地作业：</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规格、含量等技术指标要求：机械旋耕作业</w:t>
            </w:r>
            <w:r>
              <w:rPr>
                <w:rFonts w:ascii="仿宋_GB2312" w:hAnsi="仿宋_GB2312" w:cs="仿宋_GB2312" w:eastAsia="仿宋_GB2312"/>
                <w:sz w:val="21"/>
              </w:rPr>
              <w:t>8cm</w:t>
            </w:r>
            <w:r>
              <w:rPr>
                <w:rFonts w:ascii="仿宋_GB2312" w:hAnsi="仿宋_GB2312" w:cs="仿宋_GB2312" w:eastAsia="仿宋_GB2312"/>
                <w:sz w:val="21"/>
              </w:rPr>
              <w:t>至</w:t>
            </w:r>
            <w:r>
              <w:rPr>
                <w:rFonts w:ascii="仿宋_GB2312" w:hAnsi="仿宋_GB2312" w:cs="仿宋_GB2312" w:eastAsia="仿宋_GB2312"/>
                <w:sz w:val="21"/>
              </w:rPr>
              <w:t>15cm</w:t>
            </w:r>
            <w:r>
              <w:rPr>
                <w:rFonts w:ascii="仿宋_GB2312" w:hAnsi="仿宋_GB2312" w:cs="仿宋_GB2312" w:eastAsia="仿宋_GB2312"/>
                <w:sz w:val="21"/>
              </w:rPr>
              <w:t>，土壤细碎，地面平整无漏耕、不拖堆；</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作业后能够满足库伦旗荞麦种植对于土地的基本要求，能够满足采购方提出的及时性要求；</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数量：</w:t>
            </w:r>
            <w:r>
              <w:rPr>
                <w:rFonts w:ascii="仿宋_GB2312" w:hAnsi="仿宋_GB2312" w:cs="仿宋_GB2312" w:eastAsia="仿宋_GB2312"/>
                <w:sz w:val="21"/>
              </w:rPr>
              <w:t>2000</w:t>
            </w:r>
            <w:r>
              <w:rPr>
                <w:rFonts w:ascii="仿宋_GB2312" w:hAnsi="仿宋_GB2312" w:cs="仿宋_GB2312" w:eastAsia="仿宋_GB2312"/>
                <w:sz w:val="21"/>
              </w:rPr>
              <w:t>亩。</w:t>
            </w:r>
          </w:p>
          <w:p>
            <w:pPr>
              <w:pStyle w:val="null5"/>
              <w:jc w:val="both"/>
            </w:pPr>
            <w:r>
              <w:rPr>
                <w:rFonts w:ascii="仿宋_GB2312" w:hAnsi="仿宋_GB2312" w:cs="仿宋_GB2312" w:eastAsia="仿宋_GB2312"/>
                <w:sz w:val="21"/>
              </w:rPr>
              <w:t>验收要求：为保障机械化高质量整地效果，提供与整地区域明细表完全一致的整地作业单并由农户签字，如不能提供或提供不全视为未通过验收，因验收问题导致不能拨付项目资金的一切责任由中标方负责！</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荞麦示范区播种作业：</w:t>
            </w:r>
          </w:p>
          <w:p>
            <w:pPr>
              <w:pStyle w:val="null5"/>
              <w:jc w:val="both"/>
            </w:pPr>
            <w:r>
              <w:rPr>
                <w:rFonts w:ascii="仿宋_GB2312" w:hAnsi="仿宋_GB2312" w:cs="仿宋_GB2312" w:eastAsia="仿宋_GB2312"/>
                <w:sz w:val="21"/>
              </w:rPr>
              <w:t>2.1</w:t>
            </w:r>
            <w:r>
              <w:rPr>
                <w:rFonts w:ascii="仿宋_GB2312" w:hAnsi="仿宋_GB2312" w:cs="仿宋_GB2312" w:eastAsia="仿宋_GB2312"/>
                <w:sz w:val="21"/>
              </w:rPr>
              <w:t>规格、含量等技术指标要求：符合采购人要求。</w:t>
            </w:r>
          </w:p>
          <w:p>
            <w:pPr>
              <w:pStyle w:val="null5"/>
              <w:jc w:val="both"/>
            </w:pPr>
            <w:r>
              <w:rPr>
                <w:rFonts w:ascii="仿宋_GB2312" w:hAnsi="仿宋_GB2312" w:cs="仿宋_GB2312" w:eastAsia="仿宋_GB2312"/>
                <w:sz w:val="21"/>
              </w:rPr>
              <w:t>2.2</w:t>
            </w:r>
            <w:r>
              <w:rPr>
                <w:rFonts w:ascii="仿宋_GB2312" w:hAnsi="仿宋_GB2312" w:cs="仿宋_GB2312" w:eastAsia="仿宋_GB2312"/>
                <w:sz w:val="21"/>
              </w:rPr>
              <w:t>数量：</w:t>
            </w:r>
            <w:r>
              <w:rPr>
                <w:rFonts w:ascii="仿宋_GB2312" w:hAnsi="仿宋_GB2312" w:cs="仿宋_GB2312" w:eastAsia="仿宋_GB2312"/>
                <w:sz w:val="21"/>
              </w:rPr>
              <w:t>2000</w:t>
            </w:r>
            <w:r>
              <w:rPr>
                <w:rFonts w:ascii="仿宋_GB2312" w:hAnsi="仿宋_GB2312" w:cs="仿宋_GB2312" w:eastAsia="仿宋_GB2312"/>
                <w:sz w:val="21"/>
              </w:rPr>
              <w:t>亩。</w:t>
            </w:r>
          </w:p>
          <w:p>
            <w:pPr>
              <w:pStyle w:val="null5"/>
              <w:jc w:val="both"/>
            </w:pPr>
            <w:r>
              <w:rPr>
                <w:rFonts w:ascii="仿宋_GB2312" w:hAnsi="仿宋_GB2312" w:cs="仿宋_GB2312" w:eastAsia="仿宋_GB2312"/>
                <w:sz w:val="21"/>
              </w:rPr>
              <w:t>验收要求：为保障机械种植示范效果，需按照甲方技术要求进行播种作业，并提供与示范区明细表完全一致的播种作业单并由农户签字，如不能提供或提供不全视为未通过验收，因验收问题导致不能拨付项目资金的一切责任由中标方负责！</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无人机叶面施肥</w:t>
            </w:r>
          </w:p>
          <w:p>
            <w:pPr>
              <w:pStyle w:val="null5"/>
              <w:jc w:val="both"/>
            </w:pPr>
            <w:r>
              <w:rPr>
                <w:rFonts w:ascii="仿宋_GB2312" w:hAnsi="仿宋_GB2312" w:cs="仿宋_GB2312" w:eastAsia="仿宋_GB2312"/>
                <w:sz w:val="21"/>
              </w:rPr>
              <w:t>玉米</w:t>
            </w:r>
            <w:r>
              <w:rPr>
                <w:rFonts w:ascii="仿宋_GB2312" w:hAnsi="仿宋_GB2312" w:cs="仿宋_GB2312" w:eastAsia="仿宋_GB2312"/>
                <w:sz w:val="21"/>
              </w:rPr>
              <w:t>:2</w:t>
            </w:r>
            <w:r>
              <w:rPr>
                <w:rFonts w:ascii="仿宋_GB2312" w:hAnsi="仿宋_GB2312" w:cs="仿宋_GB2312" w:eastAsia="仿宋_GB2312"/>
                <w:sz w:val="21"/>
              </w:rPr>
              <w:t>个核心千亩方</w:t>
            </w:r>
            <w:r>
              <w:rPr>
                <w:rFonts w:ascii="仿宋_GB2312" w:hAnsi="仿宋_GB2312" w:cs="仿宋_GB2312" w:eastAsia="仿宋_GB2312"/>
                <w:sz w:val="21"/>
              </w:rPr>
              <w:t>(0.2</w:t>
            </w:r>
            <w:r>
              <w:rPr>
                <w:rFonts w:ascii="仿宋_GB2312" w:hAnsi="仿宋_GB2312" w:cs="仿宋_GB2312" w:eastAsia="仿宋_GB2312"/>
                <w:sz w:val="21"/>
              </w:rPr>
              <w:t>万亩</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个百亩田</w:t>
            </w:r>
            <w:r>
              <w:rPr>
                <w:rFonts w:ascii="仿宋_GB2312" w:hAnsi="仿宋_GB2312" w:cs="仿宋_GB2312" w:eastAsia="仿宋_GB2312"/>
                <w:sz w:val="21"/>
              </w:rPr>
              <w:t>(0.1</w:t>
            </w:r>
            <w:r>
              <w:rPr>
                <w:rFonts w:ascii="仿宋_GB2312" w:hAnsi="仿宋_GB2312" w:cs="仿宋_GB2312" w:eastAsia="仿宋_GB2312"/>
                <w:sz w:val="21"/>
              </w:rPr>
              <w:t>万亩</w:t>
            </w:r>
            <w:r>
              <w:rPr>
                <w:rFonts w:ascii="仿宋_GB2312" w:hAnsi="仿宋_GB2312" w:cs="仿宋_GB2312" w:eastAsia="仿宋_GB2312"/>
                <w:sz w:val="21"/>
              </w:rPr>
              <w:t>)</w:t>
            </w:r>
            <w:r>
              <w:rPr>
                <w:rFonts w:ascii="仿宋_GB2312" w:hAnsi="仿宋_GB2312" w:cs="仿宋_GB2312" w:eastAsia="仿宋_GB2312"/>
                <w:sz w:val="21"/>
              </w:rPr>
              <w:t>，每亩</w:t>
            </w:r>
            <w:r>
              <w:rPr>
                <w:rFonts w:ascii="仿宋_GB2312" w:hAnsi="仿宋_GB2312" w:cs="仿宋_GB2312" w:eastAsia="仿宋_GB2312"/>
                <w:sz w:val="21"/>
              </w:rPr>
              <w:t>2</w:t>
            </w:r>
            <w:r>
              <w:rPr>
                <w:rFonts w:ascii="仿宋_GB2312" w:hAnsi="仿宋_GB2312" w:cs="仿宋_GB2312" w:eastAsia="仿宋_GB2312"/>
                <w:sz w:val="21"/>
              </w:rPr>
              <w:t>次。</w:t>
            </w:r>
          </w:p>
          <w:p>
            <w:pPr>
              <w:pStyle w:val="null5"/>
              <w:jc w:val="both"/>
            </w:pPr>
            <w:r>
              <w:rPr>
                <w:rFonts w:ascii="仿宋_GB2312" w:hAnsi="仿宋_GB2312" w:cs="仿宋_GB2312" w:eastAsia="仿宋_GB2312"/>
                <w:sz w:val="21"/>
              </w:rPr>
              <w:t>荞表</w:t>
            </w:r>
            <w:r>
              <w:rPr>
                <w:rFonts w:ascii="仿宋_GB2312" w:hAnsi="仿宋_GB2312" w:cs="仿宋_GB2312" w:eastAsia="仿宋_GB2312"/>
                <w:sz w:val="21"/>
              </w:rPr>
              <w:t>:6</w:t>
            </w:r>
            <w:r>
              <w:rPr>
                <w:rFonts w:ascii="仿宋_GB2312" w:hAnsi="仿宋_GB2312" w:cs="仿宋_GB2312" w:eastAsia="仿宋_GB2312"/>
                <w:sz w:val="21"/>
              </w:rPr>
              <w:t>个百亩田</w:t>
            </w:r>
            <w:r>
              <w:rPr>
                <w:rFonts w:ascii="仿宋_GB2312" w:hAnsi="仿宋_GB2312" w:cs="仿宋_GB2312" w:eastAsia="仿宋_GB2312"/>
                <w:sz w:val="21"/>
              </w:rPr>
              <w:t>(0.2</w:t>
            </w:r>
            <w:r>
              <w:rPr>
                <w:rFonts w:ascii="仿宋_GB2312" w:hAnsi="仿宋_GB2312" w:cs="仿宋_GB2312" w:eastAsia="仿宋_GB2312"/>
                <w:sz w:val="21"/>
              </w:rPr>
              <w:t>万亩</w:t>
            </w:r>
            <w:r>
              <w:rPr>
                <w:rFonts w:ascii="仿宋_GB2312" w:hAnsi="仿宋_GB2312" w:cs="仿宋_GB2312" w:eastAsia="仿宋_GB2312"/>
                <w:sz w:val="21"/>
              </w:rPr>
              <w:t>)</w:t>
            </w:r>
            <w:r>
              <w:rPr>
                <w:rFonts w:ascii="仿宋_GB2312" w:hAnsi="仿宋_GB2312" w:cs="仿宋_GB2312" w:eastAsia="仿宋_GB2312"/>
                <w:sz w:val="21"/>
              </w:rPr>
              <w:t>，每亩</w:t>
            </w:r>
            <w:r>
              <w:rPr>
                <w:rFonts w:ascii="仿宋_GB2312" w:hAnsi="仿宋_GB2312" w:cs="仿宋_GB2312" w:eastAsia="仿宋_GB2312"/>
                <w:sz w:val="21"/>
              </w:rPr>
              <w:t>2</w:t>
            </w:r>
            <w:r>
              <w:rPr>
                <w:rFonts w:ascii="仿宋_GB2312" w:hAnsi="仿宋_GB2312" w:cs="仿宋_GB2312" w:eastAsia="仿宋_GB2312"/>
                <w:sz w:val="21"/>
              </w:rPr>
              <w:t>次。</w:t>
            </w:r>
          </w:p>
          <w:p>
            <w:pPr>
              <w:pStyle w:val="null5"/>
              <w:jc w:val="both"/>
            </w:pPr>
            <w:r>
              <w:rPr>
                <w:rFonts w:ascii="仿宋_GB2312" w:hAnsi="仿宋_GB2312" w:cs="仿宋_GB2312" w:eastAsia="仿宋_GB2312"/>
                <w:sz w:val="21"/>
              </w:rPr>
              <w:t>验收要求：为保障无人机作业高质量喷施效果，中标方需提供喷施示范区明细表完全一致的喷施作业单并由农户签字，如未按要求规范喷施、不能提供喷施示范区的相关证明材料视为未通过验收，因验收问题导致不能拨付项目资金的一切责任由中标方负责！</w:t>
            </w:r>
          </w:p>
        </w:tc>
      </w:tr>
    </w:tbl>
    <w:p>
      <w:pPr>
        <w:pStyle w:val="null5"/>
        <w:jc w:val="left"/>
      </w:pPr>
      <w:r>
        <w:rPr>
          <w:rFonts w:ascii="仿宋_GB2312" w:hAnsi="仿宋_GB2312" w:cs="仿宋_GB2312" w:eastAsia="仿宋_GB2312"/>
        </w:rPr>
        <w:t>标的名称：技术指导服务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按照采购人需求，举办现场会、制作标牌、印发与购买宣传与技术材料、试验示范专用材料与用工、测产验收、技术指导、邀请专家、资料及档案管理、考核等工作。</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服务期限及次数：满足采购人需求。</w:t>
            </w:r>
          </w:p>
        </w:tc>
      </w:tr>
    </w:tbl>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供应商应提交证明其有资格参加谈判和成交后有能力履行合同的相关文件，并作为其响应文件的一部分，所有文件必须真实可靠、不得伪造，否则将按相关规定予以处罚。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五、按照谈判文件要求，供应商应当提交的其他资格、资信证明文件。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谈判结束后，谈判小组应当要求所有参加谈判的供应商在规定时间内进行最后报价，采购人从谈判小组提出的成交候选人中根据符合采购需求、质量和服务相等且报价最低的原则确定成交供应商。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2.1谈判小组成员应当遵循客观、公正、审慎的原则，根据谈判文件规定的评审程序、评审方法和评审标准进行独立评审。</w:t>
      </w:r>
    </w:p>
    <w:p>
      <w:pPr>
        <w:pStyle w:val="null5"/>
        <w:ind w:firstLine="480"/>
        <w:jc w:val="left"/>
      </w:pPr>
      <w:r>
        <w:rPr>
          <w:rFonts w:ascii="仿宋_GB2312" w:hAnsi="仿宋_GB2312" w:cs="仿宋_GB2312" w:eastAsia="仿宋_GB2312"/>
        </w:rPr>
        <w:t>2.2具体评审事项由谈判小组负责，并按谈判文件规定的办法进行评审。</w:t>
      </w:r>
    </w:p>
    <w:p>
      <w:pPr>
        <w:pStyle w:val="null5"/>
        <w:ind w:firstLine="480"/>
        <w:jc w:val="left"/>
      </w:pPr>
      <w:r>
        <w:rPr>
          <w:rFonts w:ascii="仿宋_GB2312" w:hAnsi="仿宋_GB2312" w:cs="仿宋_GB2312" w:eastAsia="仿宋_GB2312"/>
        </w:rPr>
        <w:t>3.谈判小组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5"/>
        <w:ind w:firstLine="480"/>
        <w:jc w:val="left"/>
      </w:pPr>
      <w:r>
        <w:rPr>
          <w:rFonts w:ascii="仿宋_GB2312" w:hAnsi="仿宋_GB2312" w:cs="仿宋_GB2312" w:eastAsia="仿宋_GB2312"/>
        </w:rPr>
        <w:t>3.1谈判小组由采购人代表和评审专家共3人以上单数组成，其中评审专家人数不得少于竞争性谈判小组成员总数的2/3。</w:t>
      </w:r>
    </w:p>
    <w:p>
      <w:pPr>
        <w:pStyle w:val="null5"/>
        <w:ind w:firstLine="480"/>
        <w:jc w:val="left"/>
      </w:pPr>
      <w:r>
        <w:rPr>
          <w:rFonts w:ascii="仿宋_GB2312" w:hAnsi="仿宋_GB2312" w:cs="仿宋_GB2312" w:eastAsia="仿宋_GB2312"/>
        </w:rPr>
        <w:t>3.2谈判小组成员有下列情形之一的，应当回避：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3.3谈判小组应当履行下列职责：</w:t>
      </w:r>
    </w:p>
    <w:p>
      <w:pPr>
        <w:pStyle w:val="null5"/>
        <w:ind w:firstLine="480"/>
        <w:jc w:val="left"/>
      </w:pPr>
      <w:r>
        <w:rPr>
          <w:rFonts w:ascii="仿宋_GB2312" w:hAnsi="仿宋_GB2312" w:cs="仿宋_GB2312" w:eastAsia="仿宋_GB2312"/>
        </w:rPr>
        <w:t>（1）确认或者制定谈判文件；</w:t>
      </w:r>
    </w:p>
    <w:p>
      <w:pPr>
        <w:pStyle w:val="null5"/>
        <w:ind w:firstLine="480"/>
        <w:jc w:val="left"/>
      </w:pPr>
      <w:r>
        <w:rPr>
          <w:rFonts w:ascii="仿宋_GB2312" w:hAnsi="仿宋_GB2312" w:cs="仿宋_GB2312" w:eastAsia="仿宋_GB2312"/>
        </w:rPr>
        <w:t>（2）从符合相应资格条件的供应商名单中确定不少于3家的供应商参加谈判；</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4.1谈判小组不接受供应商主动提出的澄清、说明或更正。</w:t>
      </w:r>
    </w:p>
    <w:p>
      <w:pPr>
        <w:pStyle w:val="null5"/>
        <w:ind w:firstLine="480"/>
        <w:jc w:val="left"/>
      </w:pPr>
      <w:r>
        <w:rPr>
          <w:rFonts w:ascii="仿宋_GB2312" w:hAnsi="仿宋_GB2312" w:cs="仿宋_GB2312" w:eastAsia="仿宋_GB2312"/>
        </w:rPr>
        <w:t>4.2谈判小组对供应商提交的澄清、说明或更正有疑问的，可以要求供应商进一步澄清、说明或更正。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（1）供应商未按照谈判文件要求提交保证金的，响应无效；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（3）未实质性响应谈判文件的，响应无效；</w:t>
      </w:r>
    </w:p>
    <w:p>
      <w:pPr>
        <w:pStyle w:val="null5"/>
        <w:ind w:firstLine="480"/>
        <w:jc w:val="left"/>
      </w:pPr>
      <w:r>
        <w:rPr>
          <w:rFonts w:ascii="仿宋_GB2312" w:hAnsi="仿宋_GB2312" w:cs="仿宋_GB2312" w:eastAsia="仿宋_GB2312"/>
        </w:rPr>
        <w:t>（4）法律、法规和谈判文件规定的其他无效情形。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出现下列情形之一的，采购人或者采购代理机构应当终止竞争性谈判采购活动，发布项目终止公告并说明原因，重新开展采购活动：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（1）因情况变化，不再符合规定的竞争性谈判采购方式适用情形的；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（3）除《政府采购非招标采购方式管理办法》规定的情形外，在采购过程中符合竞争要求的供应商或者报价未超过采购预算的供应商不足3家的。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（4）法律、法规以及谈判文件规定的其他情形。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评审结束后，谈判小组根据采购人书面授权直接确定成交供应商或者由采购人从评审报告提出的成交候选供应商中按顺序确定成交供应商。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1.1谈判小组依据法律法规和谈判文件的规定，对响应文件中的资格证明文件等进行审查，以确定供应商是否具备响应资格。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谈判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pPr>
            <w:r>
              <w:rPr>
                <w:rFonts w:ascii="仿宋_GB2312" w:hAnsi="仿宋_GB2312" w:cs="仿宋_GB2312" w:eastAsia="仿宋_GB2312"/>
              </w:rPr>
              <w:t xml:space="preserve"> 序号</w:t>
            </w:r>
          </w:p>
        </w:tc>
        <w:tc>
          <w:tcPr>
            <w:tcW w:type="dxa" w:w="3322"/>
          </w:tcPr>
          <w:p>
            <w:pPr>
              <w:pStyle w:val="null5"/>
            </w:pPr>
            <w:r>
              <w:rPr>
                <w:rFonts w:ascii="仿宋_GB2312" w:hAnsi="仿宋_GB2312" w:cs="仿宋_GB2312" w:eastAsia="仿宋_GB2312"/>
              </w:rPr>
              <w:t xml:space="preserve"> 资格审查要求概况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831"/>
          </w:tcPr>
          <w:p>
            <w:pPr>
              <w:pStyle w:val="null5"/>
            </w:pPr>
            <w:r>
              <w:rPr>
                <w:rFonts w:ascii="仿宋_GB2312" w:hAnsi="仿宋_GB2312" w:cs="仿宋_GB2312" w:eastAsia="仿宋_GB2312"/>
              </w:rPr>
              <w:t>1</w:t>
            </w:r>
          </w:p>
        </w:tc>
        <w:tc>
          <w:tcPr>
            <w:tcW w:type="dxa" w:w="3322"/>
          </w:tcPr>
          <w:p>
            <w:pPr>
              <w:pStyle w:val="null5"/>
            </w:pPr>
            <w:r>
              <w:rPr>
                <w:rFonts w:ascii="仿宋_GB2312" w:hAnsi="仿宋_GB2312" w:cs="仿宋_GB2312" w:eastAsia="仿宋_GB2312"/>
              </w:rPr>
              <w:t>具有独立承担民事责任的能力</w:t>
            </w:r>
          </w:p>
        </w:tc>
        <w:tc>
          <w:tcPr>
            <w:tcW w:type="dxa" w:w="4153"/>
          </w:tcPr>
          <w:p>
            <w:pPr>
              <w:pStyle w:val="null5"/>
            </w:pPr>
            <w:r>
              <w:rPr>
                <w:rFonts w:ascii="仿宋_GB2312" w:hAnsi="仿宋_GB2312" w:cs="仿宋_GB2312" w:eastAsia="仿宋_GB2312"/>
              </w:rPr>
              <w:t>审查供应商营业执照等证明文件或者身份证明。</w:t>
            </w:r>
          </w:p>
        </w:tc>
      </w:tr>
      <w:tr>
        <w:tc>
          <w:tcPr>
            <w:tcW w:type="dxa" w:w="831"/>
          </w:tcPr>
          <w:p>
            <w:pPr>
              <w:pStyle w:val="null5"/>
            </w:pPr>
            <w:r>
              <w:rPr>
                <w:rFonts w:ascii="仿宋_GB2312" w:hAnsi="仿宋_GB2312" w:cs="仿宋_GB2312" w:eastAsia="仿宋_GB2312"/>
              </w:rPr>
              <w:t>2</w:t>
            </w:r>
          </w:p>
        </w:tc>
        <w:tc>
          <w:tcPr>
            <w:tcW w:type="dxa" w:w="3322"/>
          </w:tcPr>
          <w:p>
            <w:pPr>
              <w:pStyle w:val="null5"/>
            </w:pPr>
            <w:r>
              <w:rPr>
                <w:rFonts w:ascii="仿宋_GB2312" w:hAnsi="仿宋_GB2312" w:cs="仿宋_GB2312" w:eastAsia="仿宋_GB2312"/>
              </w:rPr>
              <w:t>具有良好的商业信誉和健全的财务会计制度</w:t>
            </w:r>
          </w:p>
        </w:tc>
        <w:tc>
          <w:tcPr>
            <w:tcW w:type="dxa" w:w="4153"/>
          </w:tcPr>
          <w:p>
            <w:pPr>
              <w:pStyle w:val="null5"/>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pPr>
            <w:r>
              <w:rPr>
                <w:rFonts w:ascii="仿宋_GB2312" w:hAnsi="仿宋_GB2312" w:cs="仿宋_GB2312" w:eastAsia="仿宋_GB2312"/>
              </w:rPr>
              <w:t>3</w:t>
            </w:r>
          </w:p>
        </w:tc>
        <w:tc>
          <w:tcPr>
            <w:tcW w:type="dxa" w:w="3322"/>
          </w:tcPr>
          <w:p>
            <w:pPr>
              <w:pStyle w:val="null5"/>
            </w:pPr>
            <w:r>
              <w:rPr>
                <w:rFonts w:ascii="仿宋_GB2312" w:hAnsi="仿宋_GB2312" w:cs="仿宋_GB2312" w:eastAsia="仿宋_GB2312"/>
              </w:rPr>
              <w:t>有依法缴纳税收和社会保障资金的良好记录</w:t>
            </w:r>
          </w:p>
        </w:tc>
        <w:tc>
          <w:tcPr>
            <w:tcW w:type="dxa" w:w="4153"/>
          </w:tcPr>
          <w:p>
            <w:pPr>
              <w:pStyle w:val="null5"/>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pPr>
            <w:r>
              <w:rPr>
                <w:rFonts w:ascii="仿宋_GB2312" w:hAnsi="仿宋_GB2312" w:cs="仿宋_GB2312" w:eastAsia="仿宋_GB2312"/>
              </w:rPr>
              <w:t>4</w:t>
            </w:r>
          </w:p>
        </w:tc>
        <w:tc>
          <w:tcPr>
            <w:tcW w:type="dxa" w:w="3322"/>
          </w:tcPr>
          <w:p>
            <w:pPr>
              <w:pStyle w:val="null5"/>
            </w:pPr>
            <w:r>
              <w:rPr>
                <w:rFonts w:ascii="仿宋_GB2312" w:hAnsi="仿宋_GB2312" w:cs="仿宋_GB2312" w:eastAsia="仿宋_GB2312"/>
              </w:rPr>
              <w:t>具有履行合同所必须的设备和专业技术能力</w:t>
            </w:r>
          </w:p>
        </w:tc>
        <w:tc>
          <w:tcPr>
            <w:tcW w:type="dxa" w:w="4153"/>
          </w:tcPr>
          <w:p>
            <w:pPr>
              <w:pStyle w:val="null5"/>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pPr>
            <w:r>
              <w:rPr>
                <w:rFonts w:ascii="仿宋_GB2312" w:hAnsi="仿宋_GB2312" w:cs="仿宋_GB2312" w:eastAsia="仿宋_GB2312"/>
              </w:rPr>
              <w:t>5</w:t>
            </w:r>
          </w:p>
        </w:tc>
        <w:tc>
          <w:tcPr>
            <w:tcW w:type="dxa" w:w="3322"/>
          </w:tcPr>
          <w:p>
            <w:pPr>
              <w:pStyle w:val="null5"/>
            </w:pPr>
            <w:r>
              <w:rPr>
                <w:rFonts w:ascii="仿宋_GB2312" w:hAnsi="仿宋_GB2312" w:cs="仿宋_GB2312" w:eastAsia="仿宋_GB2312"/>
              </w:rPr>
              <w:t>参加采购活动前3年内，在经营活动中没有重大违法记录</w:t>
            </w:r>
          </w:p>
        </w:tc>
        <w:tc>
          <w:tcPr>
            <w:tcW w:type="dxa" w:w="4153"/>
          </w:tcPr>
          <w:p>
            <w:pPr>
              <w:pStyle w:val="null5"/>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pPr>
            <w:r>
              <w:rPr>
                <w:rFonts w:ascii="仿宋_GB2312" w:hAnsi="仿宋_GB2312" w:cs="仿宋_GB2312" w:eastAsia="仿宋_GB2312"/>
              </w:rPr>
              <w:t>6</w:t>
            </w:r>
          </w:p>
        </w:tc>
        <w:tc>
          <w:tcPr>
            <w:tcW w:type="dxa" w:w="3322"/>
          </w:tcPr>
          <w:p>
            <w:pPr>
              <w:pStyle w:val="null5"/>
            </w:pPr>
            <w:r>
              <w:rPr>
                <w:rFonts w:ascii="仿宋_GB2312" w:hAnsi="仿宋_GB2312" w:cs="仿宋_GB2312" w:eastAsia="仿宋_GB2312"/>
              </w:rPr>
              <w:t>信用记录</w:t>
            </w:r>
          </w:p>
        </w:tc>
        <w:tc>
          <w:tcPr>
            <w:tcW w:type="dxa" w:w="4153"/>
          </w:tcPr>
          <w:p>
            <w:pPr>
              <w:pStyle w:val="null5"/>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pPr>
            <w:r>
              <w:rPr>
                <w:rFonts w:ascii="仿宋_GB2312" w:hAnsi="仿宋_GB2312" w:cs="仿宋_GB2312" w:eastAsia="仿宋_GB2312"/>
              </w:rPr>
              <w:t>7</w:t>
            </w:r>
          </w:p>
        </w:tc>
        <w:tc>
          <w:tcPr>
            <w:tcW w:type="dxa" w:w="3322"/>
          </w:tcPr>
          <w:p>
            <w:pPr>
              <w:pStyle w:val="null5"/>
            </w:pPr>
            <w:r>
              <w:rPr>
                <w:rFonts w:ascii="仿宋_GB2312" w:hAnsi="仿宋_GB2312" w:cs="仿宋_GB2312" w:eastAsia="仿宋_GB2312"/>
              </w:rPr>
              <w:t>联合体响应（若有）</w:t>
            </w:r>
          </w:p>
        </w:tc>
        <w:tc>
          <w:tcPr>
            <w:tcW w:type="dxa" w:w="4153"/>
          </w:tcPr>
          <w:p>
            <w:pPr>
              <w:pStyle w:val="null5"/>
            </w:pPr>
            <w:r>
              <w:rPr>
                <w:rFonts w:ascii="仿宋_GB2312" w:hAnsi="仿宋_GB2312" w:cs="仿宋_GB2312" w:eastAsia="仿宋_GB2312"/>
              </w:rPr>
              <w:t>符合关于联合体响应的相关规定。</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2.1谈判小组依据谈判文件的规定，从响应文件的有效性、完整性和对谈判文件的响应程度进行审查，以确定是否对谈判文件的实质性要求作出响应。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pPr>
            <w:r>
              <w:rPr>
                <w:rFonts w:ascii="仿宋_GB2312" w:hAnsi="仿宋_GB2312" w:cs="仿宋_GB2312" w:eastAsia="仿宋_GB2312"/>
              </w:rPr>
              <w:t xml:space="preserve"> 序号</w:t>
            </w:r>
          </w:p>
        </w:tc>
        <w:tc>
          <w:tcPr>
            <w:tcW w:type="dxa" w:w="3115"/>
          </w:tcPr>
          <w:p>
            <w:pPr>
              <w:pStyle w:val="null5"/>
            </w:pPr>
            <w:r>
              <w:rPr>
                <w:rFonts w:ascii="仿宋_GB2312" w:hAnsi="仿宋_GB2312" w:cs="仿宋_GB2312" w:eastAsia="仿宋_GB2312"/>
              </w:rPr>
              <w:t xml:space="preserve"> 符合审查要求概况</w:t>
            </w:r>
          </w:p>
        </w:tc>
        <w:tc>
          <w:tcPr>
            <w:tcW w:type="dxa" w:w="4153"/>
          </w:tcPr>
          <w:p>
            <w:pPr>
              <w:pStyle w:val="null5"/>
            </w:pPr>
            <w:r>
              <w:rPr>
                <w:rFonts w:ascii="仿宋_GB2312" w:hAnsi="仿宋_GB2312" w:cs="仿宋_GB2312" w:eastAsia="仿宋_GB2312"/>
              </w:rPr>
              <w:t xml:space="preserve"> 评审点具体描述</w:t>
            </w:r>
          </w:p>
        </w:tc>
      </w:tr>
      <w:tr>
        <w:tc>
          <w:tcPr>
            <w:tcW w:type="dxa" w:w="1038"/>
          </w:tcPr>
          <w:p>
            <w:pPr>
              <w:pStyle w:val="null5"/>
            </w:pPr>
            <w:r>
              <w:rPr>
                <w:rFonts w:ascii="仿宋_GB2312" w:hAnsi="仿宋_GB2312" w:cs="仿宋_GB2312" w:eastAsia="仿宋_GB2312"/>
              </w:rPr>
              <w:t>1</w:t>
            </w:r>
          </w:p>
        </w:tc>
        <w:tc>
          <w:tcPr>
            <w:tcW w:type="dxa" w:w="3115"/>
          </w:tcPr>
          <w:p>
            <w:pPr>
              <w:pStyle w:val="null5"/>
            </w:pPr>
            <w:r>
              <w:rPr>
                <w:rFonts w:ascii="仿宋_GB2312" w:hAnsi="仿宋_GB2312" w:cs="仿宋_GB2312" w:eastAsia="仿宋_GB2312"/>
              </w:rPr>
              <w:t>投标及保证金缴纳情况</w:t>
            </w:r>
          </w:p>
        </w:tc>
        <w:tc>
          <w:tcPr>
            <w:tcW w:type="dxa" w:w="4153"/>
          </w:tcPr>
          <w:p>
            <w:pPr>
              <w:pStyle w:val="null5"/>
            </w:pPr>
            <w:r>
              <w:rPr>
                <w:rFonts w:ascii="仿宋_GB2312" w:hAnsi="仿宋_GB2312" w:cs="仿宋_GB2312" w:eastAsia="仿宋_GB2312"/>
              </w:rPr>
              <w:t>按要求进行网上投标、进行保证金缴纳。（审查汇款凭证）</w:t>
            </w:r>
          </w:p>
        </w:tc>
      </w:tr>
      <w:tr>
        <w:tc>
          <w:tcPr>
            <w:tcW w:type="dxa" w:w="1038"/>
          </w:tcPr>
          <w:p>
            <w:pPr>
              <w:pStyle w:val="null5"/>
            </w:pPr>
            <w:r>
              <w:rPr>
                <w:rFonts w:ascii="仿宋_GB2312" w:hAnsi="仿宋_GB2312" w:cs="仿宋_GB2312" w:eastAsia="仿宋_GB2312"/>
              </w:rPr>
              <w:t>2</w:t>
            </w:r>
          </w:p>
        </w:tc>
        <w:tc>
          <w:tcPr>
            <w:tcW w:type="dxa" w:w="3115"/>
          </w:tcPr>
          <w:p>
            <w:pPr>
              <w:pStyle w:val="null5"/>
            </w:pPr>
            <w:r>
              <w:rPr>
                <w:rFonts w:ascii="仿宋_GB2312" w:hAnsi="仿宋_GB2312" w:cs="仿宋_GB2312" w:eastAsia="仿宋_GB2312"/>
              </w:rPr>
              <w:t>投标报价</w:t>
            </w:r>
          </w:p>
        </w:tc>
        <w:tc>
          <w:tcPr>
            <w:tcW w:type="dxa" w:w="4153"/>
          </w:tcPr>
          <w:p>
            <w:pPr>
              <w:pStyle w:val="null5"/>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pPr>
            <w:r>
              <w:rPr>
                <w:rFonts w:ascii="仿宋_GB2312" w:hAnsi="仿宋_GB2312" w:cs="仿宋_GB2312" w:eastAsia="仿宋_GB2312"/>
              </w:rPr>
              <w:t>3</w:t>
            </w:r>
          </w:p>
        </w:tc>
        <w:tc>
          <w:tcPr>
            <w:tcW w:type="dxa" w:w="3115"/>
          </w:tcPr>
          <w:p>
            <w:pPr>
              <w:pStyle w:val="null5"/>
            </w:pPr>
            <w:r>
              <w:rPr>
                <w:rFonts w:ascii="仿宋_GB2312" w:hAnsi="仿宋_GB2312" w:cs="仿宋_GB2312" w:eastAsia="仿宋_GB2312"/>
              </w:rPr>
              <w:t>投标文件规范性、符合性</w:t>
            </w:r>
          </w:p>
        </w:tc>
        <w:tc>
          <w:tcPr>
            <w:tcW w:type="dxa" w:w="4153"/>
          </w:tcPr>
          <w:p>
            <w:pPr>
              <w:pStyle w:val="null5"/>
            </w:pPr>
            <w:r>
              <w:rPr>
                <w:rFonts w:ascii="仿宋_GB2312" w:hAnsi="仿宋_GB2312" w:cs="仿宋_GB2312" w:eastAsia="仿宋_GB2312"/>
              </w:rPr>
              <w:t>响应文件的签署、盖章、涂改、删除、插字、公章使用等符合谈判文件要求；响应文件文件的格式、文字、目录等符合谈判文件要求或对投标无实质性影响。</w:t>
            </w:r>
          </w:p>
        </w:tc>
      </w:tr>
      <w:tr>
        <w:tc>
          <w:tcPr>
            <w:tcW w:type="dxa" w:w="1038"/>
          </w:tcPr>
          <w:p>
            <w:pPr>
              <w:pStyle w:val="null5"/>
            </w:pPr>
            <w:r>
              <w:rPr>
                <w:rFonts w:ascii="仿宋_GB2312" w:hAnsi="仿宋_GB2312" w:cs="仿宋_GB2312" w:eastAsia="仿宋_GB2312"/>
              </w:rPr>
              <w:t>4</w:t>
            </w:r>
          </w:p>
        </w:tc>
        <w:tc>
          <w:tcPr>
            <w:tcW w:type="dxa" w:w="3115"/>
          </w:tcPr>
          <w:p>
            <w:pPr>
              <w:pStyle w:val="null5"/>
            </w:pPr>
            <w:r>
              <w:rPr>
                <w:rFonts w:ascii="仿宋_GB2312" w:hAnsi="仿宋_GB2312" w:cs="仿宋_GB2312" w:eastAsia="仿宋_GB2312"/>
              </w:rPr>
              <w:t>主要商务条款</w:t>
            </w:r>
          </w:p>
        </w:tc>
        <w:tc>
          <w:tcPr>
            <w:tcW w:type="dxa" w:w="4153"/>
          </w:tcPr>
          <w:p>
            <w:pPr>
              <w:pStyle w:val="null5"/>
            </w:pPr>
            <w:r>
              <w:rPr>
                <w:rFonts w:ascii="仿宋_GB2312" w:hAnsi="仿宋_GB2312" w:cs="仿宋_GB2312" w:eastAsia="仿宋_GB2312"/>
              </w:rPr>
              <w:t>审查供应商出具的“满足主要商务条款的承诺书”，且进行盖章。</w:t>
            </w:r>
          </w:p>
        </w:tc>
      </w:tr>
      <w:tr>
        <w:tc>
          <w:tcPr>
            <w:tcW w:type="dxa" w:w="1038"/>
          </w:tcPr>
          <w:p>
            <w:pPr>
              <w:pStyle w:val="null5"/>
            </w:pPr>
            <w:r>
              <w:rPr>
                <w:rFonts w:ascii="仿宋_GB2312" w:hAnsi="仿宋_GB2312" w:cs="仿宋_GB2312" w:eastAsia="仿宋_GB2312"/>
              </w:rPr>
              <w:t>5</w:t>
            </w:r>
          </w:p>
        </w:tc>
        <w:tc>
          <w:tcPr>
            <w:tcW w:type="dxa" w:w="3115"/>
          </w:tcPr>
          <w:p>
            <w:pPr>
              <w:pStyle w:val="null5"/>
            </w:pPr>
            <w:r>
              <w:rPr>
                <w:rFonts w:ascii="仿宋_GB2312" w:hAnsi="仿宋_GB2312" w:cs="仿宋_GB2312" w:eastAsia="仿宋_GB2312"/>
              </w:rPr>
              <w:t>技术部分实质性内容</w:t>
            </w:r>
          </w:p>
        </w:tc>
        <w:tc>
          <w:tcPr>
            <w:tcW w:type="dxa" w:w="4153"/>
          </w:tcPr>
          <w:p>
            <w:pPr>
              <w:pStyle w:val="null5"/>
            </w:pPr>
            <w:r>
              <w:rPr>
                <w:rFonts w:ascii="仿宋_GB2312" w:hAnsi="仿宋_GB2312" w:cs="仿宋_GB2312" w:eastAsia="仿宋_GB2312"/>
              </w:rPr>
              <w:t>1.明确所投标的的产品品牌、规格型号或服务内容或工程量； 2.响应文件应当对谈判文件提出的要求和条件作出明确响应并满足谈判文件全部实质性要求。</w:t>
            </w:r>
          </w:p>
        </w:tc>
      </w:tr>
      <w:tr>
        <w:tc>
          <w:tcPr>
            <w:tcW w:type="dxa" w:w="1038"/>
          </w:tcPr>
          <w:p>
            <w:pPr>
              <w:pStyle w:val="null5"/>
            </w:pPr>
            <w:r>
              <w:rPr>
                <w:rFonts w:ascii="仿宋_GB2312" w:hAnsi="仿宋_GB2312" w:cs="仿宋_GB2312" w:eastAsia="仿宋_GB2312"/>
              </w:rPr>
              <w:t>6</w:t>
            </w:r>
          </w:p>
        </w:tc>
        <w:tc>
          <w:tcPr>
            <w:tcW w:type="dxa" w:w="3115"/>
          </w:tcPr>
          <w:p>
            <w:pPr>
              <w:pStyle w:val="null5"/>
            </w:pPr>
            <w:r>
              <w:rPr>
                <w:rFonts w:ascii="仿宋_GB2312" w:hAnsi="仿宋_GB2312" w:cs="仿宋_GB2312" w:eastAsia="仿宋_GB2312"/>
              </w:rPr>
              <w:t>其他要求</w:t>
            </w:r>
          </w:p>
        </w:tc>
        <w:tc>
          <w:tcPr>
            <w:tcW w:type="dxa" w:w="4153"/>
          </w:tcPr>
          <w:p>
            <w:pPr>
              <w:pStyle w:val="null5"/>
            </w:pPr>
            <w:r>
              <w:rPr>
                <w:rFonts w:ascii="仿宋_GB2312" w:hAnsi="仿宋_GB2312" w:cs="仿宋_GB2312" w:eastAsia="仿宋_GB2312"/>
              </w:rPr>
              <w:t>谈判文件要求的其他无效投标情形；围标、串标和法律法规规定的其它无效投标条款。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3.谈判</w:t>
      </w:r>
    </w:p>
    <w:p>
      <w:pPr>
        <w:pStyle w:val="null5"/>
        <w:ind w:firstLine="480"/>
        <w:jc w:val="left"/>
      </w:pPr>
      <w:r>
        <w:rPr>
          <w:rFonts w:ascii="仿宋_GB2312" w:hAnsi="仿宋_GB2312" w:cs="仿宋_GB2312" w:eastAsia="仿宋_GB2312"/>
        </w:rPr>
        <w:t>谈判小组所有成员应当集中与单一供应商分别进行谈判，并给予所有参加谈判的供应商平等的谈判机会。</w:t>
      </w:r>
    </w:p>
    <w:p>
      <w:pPr>
        <w:pStyle w:val="null5"/>
        <w:ind w:firstLine="480"/>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在谈判过程中，谈判小组可以根据谈判文件和谈判情况实质性变动采购需求中的技术、服务要求以及合同草案条款，但不得变动谈判文件中的其他内容。实质性变动的内容，须经采购人代表确认。</w:t>
      </w:r>
    </w:p>
    <w:p>
      <w:pPr>
        <w:pStyle w:val="null5"/>
        <w:ind w:firstLine="480"/>
        <w:jc w:val="left"/>
      </w:pPr>
      <w:r>
        <w:rPr>
          <w:rFonts w:ascii="仿宋_GB2312" w:hAnsi="仿宋_GB2312" w:cs="仿宋_GB2312" w:eastAsia="仿宋_GB2312"/>
        </w:rPr>
        <w:t>对谈判文件作出的实质性变动是谈判文件的有效组成部分，谈判小组应当及时通过政府采购云平台同时通知所有参加谈判的供应商。</w:t>
      </w:r>
    </w:p>
    <w:p>
      <w:pPr>
        <w:pStyle w:val="null5"/>
        <w:ind w:firstLine="480"/>
        <w:jc w:val="left"/>
      </w:pPr>
      <w:r>
        <w:rPr>
          <w:rFonts w:ascii="仿宋_GB2312" w:hAnsi="仿宋_GB2312" w:cs="仿宋_GB2312" w:eastAsia="仿宋_GB231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谈判结束后，谈判小组应当要求所有实质性响应的供应商在规定时间内提交最后报价。最后报价是供应商响应文件的有效组成部分。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已提交响应文件的供应商，在提交最后报价之前，可以根据谈判情况退出谈判。</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谈判小组应当从质量和服务均能满足谈判文件实质性响应要求的供应商中，按照最后报价由低到高的顺序提出3名以上成交候选人，并编写评审报告。</w:t>
      </w:r>
    </w:p>
    <w:p>
      <w:pPr>
        <w:pStyle w:val="null5"/>
        <w:ind w:firstLine="480"/>
        <w:jc w:val="left"/>
      </w:pPr>
      <w:r>
        <w:rPr>
          <w:rFonts w:ascii="仿宋_GB2312" w:hAnsi="仿宋_GB2312" w:cs="仿宋_GB2312" w:eastAsia="仿宋_GB2312"/>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pStyle w:val="null5"/>
        <w:ind w:firstLine="480"/>
        <w:jc w:val="left"/>
      </w:pPr>
      <w:r>
        <w:rPr>
          <w:rFonts w:ascii="仿宋_GB2312" w:hAnsi="仿宋_GB2312" w:cs="仿宋_GB2312" w:eastAsia="仿宋_GB2312"/>
        </w:rPr>
        <w:t>公开招标的货物、服务采购项目，招标过程中提交投标文件或者经评审实质性响应招标文件要求的供应商只有两家时，采购人、采购代理机构按照《政府采购非招标采购方式管理办法》规定，经本级财政部门批准后可以与该两家供应商进行竞争性谈判采购。</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