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硅砂产业园用电保障货物采购及施工</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库伦旗工业和信息化局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库伦旗政府采购中心</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KLQZC-C-G-250001</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库伦旗政府采购中心</w:t>
      </w:r>
      <w:r>
        <w:rPr>
          <w:rFonts w:ascii="仿宋_GB2312" w:hAnsi="仿宋_GB2312" w:cs="仿宋_GB2312" w:eastAsia="仿宋_GB2312"/>
        </w:rPr>
        <w:t xml:space="preserve"> 受 </w:t>
      </w:r>
      <w:r>
        <w:rPr>
          <w:rFonts w:ascii="仿宋_GB2312" w:hAnsi="仿宋_GB2312" w:cs="仿宋_GB2312" w:eastAsia="仿宋_GB2312"/>
        </w:rPr>
        <w:t>库伦旗工业和信息化局</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硅砂产业园用电保障货物采购及施工</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硅砂产业园用电保障货物采购及施工</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KLQZC-C-G-250001</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150524[2025]00046</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3,348,582.72</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工矿企业电力系统安装</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3,348,582.72</w:t>
            </w:r>
          </w:p>
        </w:tc>
        <w:tc>
          <w:tcPr>
            <w:tcW w:type="dxa" w:w="831"/>
          </w:tcPr>
          <w:p>
            <w:pPr>
              <w:pStyle w:val="null5"/>
              <w:jc w:val="left"/>
            </w:pPr>
            <w:r>
              <w:rPr>
                <w:rFonts w:ascii="仿宋_GB2312" w:hAnsi="仿宋_GB2312" w:cs="仿宋_GB2312" w:eastAsia="仿宋_GB2312"/>
              </w:rPr>
              <w:t>批</w:t>
            </w:r>
          </w:p>
        </w:tc>
        <w:tc>
          <w:tcPr>
            <w:tcW w:type="dxa" w:w="831"/>
          </w:tcPr>
          <w:p>
            <w:pPr>
              <w:pStyle w:val="null5"/>
              <w:jc w:val="left"/>
            </w:pPr>
            <w:r>
              <w:rPr>
                <w:rFonts w:ascii="仿宋_GB2312" w:hAnsi="仿宋_GB2312" w:cs="仿宋_GB2312" w:eastAsia="仿宋_GB2312"/>
              </w:rPr>
              <w:t>建筑业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1、特定资格要求：（1）具备建设行政主管部门核发的【电力工程施工总承包二级】(含)以上资质，同时具备 有效的安全生产许可证。(响应文件须附证书扫描件) （2）拟派项目负责人须具备[机电工程 专业二级]（含）以上建造师资格，必须在本单位注册，同时具备有效的B类安全生产考核合 格证书（以建造师注册证、执业资格证、B类安全生产考核合格证为准，响应文件中须附扫 描件）且未担任其他在建工程的项目负责人。（提供承诺书，承诺书格式自拟，承诺书须附 在响应文件中）</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库伦旗政府采购中心</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内蒙古自治区通辽市库伦旗内蒙古自治区通辽市库伦旗新区安代大街1306号（水务局二楼）</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028200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 xml:space="preserve"> 库伦旗政府采购中心</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15750441980</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库伦旗工业和信息化局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旗农牧和科技局四楼</w:t>
      </w:r>
    </w:p>
    <w:p>
      <w:pPr>
        <w:pStyle w:val="null5"/>
      </w:pPr>
      <w:r>
        <w:rPr>
          <w:rFonts w:ascii="仿宋_GB2312" w:hAnsi="仿宋_GB2312" w:cs="仿宋_GB2312" w:eastAsia="仿宋_GB2312"/>
        </w:rPr>
        <w:t xml:space="preserve"> 邮编： </w:t>
      </w:r>
      <w:r>
        <w:rPr>
          <w:rFonts w:ascii="仿宋_GB2312" w:hAnsi="仿宋_GB2312" w:cs="仿宋_GB2312" w:eastAsia="仿宋_GB2312"/>
        </w:rPr>
        <w:t>028200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孙德祥</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18047523555</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采购单位授权评标委员会按照采购文件规定的方式确定中标（成交）供应商。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本项目不收取代理服务费</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库伦旗工业和信息化局</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库伦旗政府采购中心</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为硅砂产业园提供稳定的电力供应和相关的施工服务，以支持产业园内的工业生产和日常运营。</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双方签订合同后，30日历天。遇到不抗力原因，导致工期延期，需要在不可抗力消失后5天恢复施工。</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库伦旗库伦镇-硅砂产业园</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1、1期：合同签订后，施工单位人员设备进场后支付总工程款的 30%，达到付款条件起7日，支付合同总金额的30.00%</w:t>
            </w:r>
          </w:p>
          <w:p>
            <w:pPr>
              <w:pStyle w:val="null5"/>
              <w:jc w:val="left"/>
            </w:pPr>
            <w:r>
              <w:rPr>
                <w:rFonts w:ascii="仿宋_GB2312" w:hAnsi="仿宋_GB2312" w:cs="仿宋_GB2312" w:eastAsia="仿宋_GB2312"/>
              </w:rPr>
              <w:t>2、2期：项目竣工验收合格后，支付总工程款的67%，达到付款条件起7日，支付合同总金额的67.00%</w:t>
            </w:r>
          </w:p>
          <w:p>
            <w:pPr>
              <w:pStyle w:val="null5"/>
              <w:jc w:val="left"/>
            </w:pPr>
            <w:r>
              <w:rPr>
                <w:rFonts w:ascii="仿宋_GB2312" w:hAnsi="仿宋_GB2312" w:cs="仿宋_GB2312" w:eastAsia="仿宋_GB2312"/>
              </w:rPr>
              <w:t>3、3期：质保期满后，无质量问题支付总工程款的3%，达到付款条件起7日，支付合同总金额的3.00%</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标的名称：工矿企业电力系统安装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详见附件：招标工程量清单 质保期：1年</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供应商在投标（响应）时，按照通辽市财政局关于印发《通辽市政府采购“双向承诺+信用管 理”工作方案》的通知（通财购〔2023〕195号）文件规定，提供《通辽市政府采购供应商 信用承诺函》（格式详见采购文件附件），无需提交证明材料。采购人有权在签订合同前要 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供应商在投标（响应）时，按照通辽市财政局关于印发《通辽市政府采购“双向承诺+信用管 理”工作方案》的通知（通财购〔2023〕195号）文件规定，提供《通辽市政府采购供应商 信用承诺函》（格式详见采购文件附件），无需提交证明材料。采购人有权在签订合同前要 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供应商在投标（响应）时，按照通辽市财政局关于印发《通辽市政府采购“双向承诺+信用管 理”工作方案》的通知（通财购〔2023〕195号）文件规定，提供《通辽市政府采购供应商 信用承诺函》（格式详见采购文件附件），无需提交证明材料。采购人有权在签订合同前要 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供应商在投标（响应）时，按照通辽市财政局关于印发《通辽市政府采购“双向承诺+信用管 理”工作方案》的通知（通财购〔2023〕195号）文件规定，提供《通辽市政府采购供应商 信用承诺函》（格式详见采购文件附件），无需提交证明材料。采购人有权在签订合同前要 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供应商在投标（响应）时，按照通辽市财政局关于印发《通辽市政府采购“双向承诺+信用管 理”工作方案》的通知（通财购〔2023〕195号）文件规定，提供《通辽市政府采购供应商 信用承诺函》（格式详见采购文件附件），无需提交证明材料。采购人有权在签订合同前要 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供应商在投标（响应）时，按照通辽市财政局关于印发《通辽市政府采购“双向承诺+信用管 理”工作方案》的通知（通财购〔2023〕195号）文件规定，提供《通辽市政府采购供应商 信用承诺函》（格式详见采购文件附件），无需提交证明材料。采购人有权在签订合同前要 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不接受</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特定资格要求</w:t>
            </w:r>
          </w:p>
        </w:tc>
        <w:tc>
          <w:tcPr>
            <w:tcW w:type="dxa" w:w="4984"/>
          </w:tcPr>
          <w:p>
            <w:pPr>
              <w:pStyle w:val="null5"/>
              <w:jc w:val="left"/>
            </w:pPr>
            <w:r>
              <w:rPr>
                <w:rFonts w:ascii="仿宋_GB2312" w:hAnsi="仿宋_GB2312" w:cs="仿宋_GB2312" w:eastAsia="仿宋_GB2312"/>
              </w:rPr>
              <w:t>（1）具备建设行政主管部门核发的【电力工程施工总承包二级】(含)以上资质，同时具备 有效的安全生产许可证。(响应文件须附证书扫描件) （2）拟派项目负责人须具备[机电工程 专业二级]（含）以上建造师资格，必须在本单位注册，同时具备有效的B类安全生产考核合 格证书（以建造师注册证、执业资格证、B类安全生产考核合格证为准，响应文件中须附扫 描件）且未担任其他在建工程的项目负责人。（提供承诺书，承诺书格式自拟，承诺书须附 在响应文件中）</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技术部分65.00分</w:t>
            </w:r>
          </w:p>
          <w:p>
            <w:pPr>
              <w:pStyle w:val="null5"/>
              <w:jc w:val="left"/>
            </w:pPr>
            <w:r>
              <w:rPr>
                <w:rFonts w:ascii="仿宋_GB2312" w:hAnsi="仿宋_GB2312" w:cs="仿宋_GB2312" w:eastAsia="仿宋_GB2312"/>
              </w:rPr>
              <w:t>商务部分15.00分</w:t>
            </w:r>
          </w:p>
          <w:p>
            <w:pPr>
              <w:pStyle w:val="null5"/>
              <w:jc w:val="left"/>
            </w:pPr>
            <w:r>
              <w:rPr>
                <w:rFonts w:ascii="仿宋_GB2312" w:hAnsi="仿宋_GB2312" w:cs="仿宋_GB2312" w:eastAsia="仿宋_GB2312"/>
              </w:rPr>
              <w:t>报价得分20.00分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施工方案与技术措施</w:t>
            </w:r>
          </w:p>
        </w:tc>
        <w:tc>
          <w:tcPr>
            <w:tcW w:type="dxa" w:w="3115"/>
          </w:tcPr>
          <w:p>
            <w:pPr>
              <w:pStyle w:val="null5"/>
              <w:jc w:val="left"/>
            </w:pPr>
            <w:r>
              <w:rPr>
                <w:rFonts w:ascii="仿宋_GB2312" w:hAnsi="仿宋_GB2312" w:cs="仿宋_GB2312" w:eastAsia="仿宋_GB2312"/>
              </w:rPr>
              <w:t>根据供应商提供的施工方案与技术措施进行评审，包含施工准备、拟投入 劳动力、主要施工机械、各分部分项工程主要施工技术方法、关键点控制 措施、材料供应保障措施、成品保护完善，共七项方案内容，单项方案评 审规则：单项方案内容编制规范、完整，语言通顺简练的得2分；语言表 述冗长、模糊，只存在个别不影响整体方案质量的缺陷得1分，单项方案 未提供不得分；整体方案内容编制存在严重缺陷或未提供的不得分，满分 得14分。（严重缺陷是指：不满足磋商文件要求、非专门针对本项目或不 适用项目特性的情形、缺少关键节点、套用其他项目方案、内容前后矛盾 、不利于项目实施、不可能实现的情形等任意一种情形。）</w:t>
            </w:r>
          </w:p>
        </w:tc>
        <w:tc>
          <w:tcPr>
            <w:tcW w:type="dxa" w:w="1038"/>
          </w:tcPr>
          <w:p>
            <w:pPr>
              <w:pStyle w:val="null5"/>
              <w:jc w:val="right"/>
            </w:pPr>
            <w:r>
              <w:rPr>
                <w:rFonts w:ascii="仿宋_GB2312" w:hAnsi="仿宋_GB2312" w:cs="仿宋_GB2312" w:eastAsia="仿宋_GB2312"/>
              </w:rPr>
              <w:t>14.00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施工进度计划与保证措施</w:t>
            </w:r>
          </w:p>
        </w:tc>
        <w:tc>
          <w:tcPr>
            <w:tcW w:type="dxa" w:w="3115"/>
          </w:tcPr>
          <w:p>
            <w:pPr>
              <w:pStyle w:val="null5"/>
              <w:jc w:val="left"/>
            </w:pPr>
            <w:r>
              <w:rPr>
                <w:rFonts w:ascii="仿宋_GB2312" w:hAnsi="仿宋_GB2312" w:cs="仿宋_GB2312" w:eastAsia="仿宋_GB2312"/>
              </w:rPr>
              <w:t>根据供应商提供的施工进度计划与保证措施进行评审，包含施工进度计划 表、详细的进度计划安排、主要工序衔接度、工期保障措施、技术保障措 施、雨季施工安排及防护措施、进度计划纠偏措施，共七项方案内容，单 项方案评审规则：单项方案内容编制规范、完整，语言通顺简练的得2分 ；语言表述冗长、模糊，只存在个别不影响整体方案质量的缺陷得1分， 单项方案未提供不得分；整体方案内容编制存在严重缺陷或未提供的不得 分，满分得14分。（严重缺陷是指：不满足磋商文件要求、非专门针对本 项目或不适用项目特性的情形、缺少关键节点、套用其他项目方案、内容 前后矛盾、不利于项目实施、不可能实现的情形等任意一种情形。）</w:t>
            </w:r>
          </w:p>
        </w:tc>
        <w:tc>
          <w:tcPr>
            <w:tcW w:type="dxa" w:w="1038"/>
          </w:tcPr>
          <w:p>
            <w:pPr>
              <w:pStyle w:val="null5"/>
              <w:jc w:val="right"/>
            </w:pPr>
            <w:r>
              <w:rPr>
                <w:rFonts w:ascii="仿宋_GB2312" w:hAnsi="仿宋_GB2312" w:cs="仿宋_GB2312" w:eastAsia="仿宋_GB2312"/>
              </w:rPr>
              <w:t>14.00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质量管理措施</w:t>
            </w:r>
          </w:p>
        </w:tc>
        <w:tc>
          <w:tcPr>
            <w:tcW w:type="dxa" w:w="3115"/>
          </w:tcPr>
          <w:p>
            <w:pPr>
              <w:pStyle w:val="null5"/>
              <w:jc w:val="left"/>
            </w:pPr>
            <w:r>
              <w:rPr>
                <w:rFonts w:ascii="仿宋_GB2312" w:hAnsi="仿宋_GB2312" w:cs="仿宋_GB2312" w:eastAsia="仿宋_GB2312"/>
              </w:rPr>
              <w:t>根据供应商提供的质量管理措施进行评审，包含质量目标和承诺、质量管 理体系设置、质量管理制度、质量保证措施、质量通病、成本控制措施， 共六项方案内容，单项方案评审规则:单项方案内容编制规范、完整，语言 通顺简练的得2分:语言表述冗长、模糊，只存在个别不影响整体方案质量 的缺陷得1分，单项方案未提供不得分:整体方案内容编制存在严重缺陷或 未提供的不得分，满分得12分。(严重缺陷是指:不满足磋商文件要求、非 专门针对本项目或不适用项目特性的情形、缺少关键节点、套用其他项目 方案、内容前后矛盾、不利于项目实施、不可能实现的情形等任意一种情 形。)</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安全生产管理体系及保证措施</w:t>
            </w:r>
          </w:p>
        </w:tc>
        <w:tc>
          <w:tcPr>
            <w:tcW w:type="dxa" w:w="3115"/>
          </w:tcPr>
          <w:p>
            <w:pPr>
              <w:pStyle w:val="null5"/>
              <w:jc w:val="left"/>
            </w:pPr>
            <w:r>
              <w:rPr>
                <w:rFonts w:ascii="仿宋_GB2312" w:hAnsi="仿宋_GB2312" w:cs="仿宋_GB2312" w:eastAsia="仿宋_GB2312"/>
              </w:rPr>
              <w:t>根据供应商提供的安全生产管理体系及保证措施进行评审，包含施工安全 文明规范、安全生产目标、安全管理体系设置、安全隐患防范、施工现场 安全控制措施，共五项方案内容，单项方案评审规则：单项方案内容编制 规范、完整，语言通顺简练的得2分；语言表述冗长、模糊，只存在个别 不影响整体方案质量的缺陷得1分，单项方案未提供不得分；整体方案内 容编制存在严重缺陷或未提供的不得分，满分得10分。（严重缺陷是指： 不满足磋商文件要求、非专门针对本项目或不适用项目特性的情形、缺少 关键节点、套用其他项目方案、内容前后矛盾、不利于项目实施、不可能 实现的情形等任意一种情形。）</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应急管理保障措施</w:t>
            </w:r>
          </w:p>
        </w:tc>
        <w:tc>
          <w:tcPr>
            <w:tcW w:type="dxa" w:w="3115"/>
          </w:tcPr>
          <w:p>
            <w:pPr>
              <w:pStyle w:val="null5"/>
              <w:jc w:val="left"/>
            </w:pPr>
            <w:r>
              <w:rPr>
                <w:rFonts w:ascii="仿宋_GB2312" w:hAnsi="仿宋_GB2312" w:cs="仿宋_GB2312" w:eastAsia="仿宋_GB2312"/>
              </w:rPr>
              <w:t>根据供应商提供的应急管理保障措施进行评审，包含项目风险预测与防范 、应急管理体系、突发事件应对、应急保障措施，共四项方案内容，单项 方案评审规则：单项方案内容编制规范、完整，语言通顺简练的得2分； 语言表述冗长、模糊，只存在个别不影响整体方案质量的缺陷得1分，单 项方案未提供不得分；整体方案内容编制存在严重缺陷或未提供的不得分 ，满分得8分。（严重缺陷是指：不满足磋商文件要求、非专门针对本项 目或不适用项目特性的情形、缺少关键节点、套用其他项目方案、内容前 后矛盾、不利于项目实施、不可能实现的情形等任意一种情形。）</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环境保护</w:t>
            </w:r>
          </w:p>
        </w:tc>
        <w:tc>
          <w:tcPr>
            <w:tcW w:type="dxa" w:w="3115"/>
          </w:tcPr>
          <w:p>
            <w:pPr>
              <w:pStyle w:val="null5"/>
              <w:jc w:val="left"/>
            </w:pPr>
            <w:r>
              <w:rPr>
                <w:rFonts w:ascii="仿宋_GB2312" w:hAnsi="仿宋_GB2312" w:cs="仿宋_GB2312" w:eastAsia="仿宋_GB2312"/>
              </w:rPr>
              <w:t>根据供应商提供的环境保护方案进行评审，包含环境保护体系、环境保护 措施、水土保持措施，共三项方案内容，单项方案评审规则：单项方案内 容编制规范、完整，语言通顺简练的得1分；语言表述冗长、模糊，只存 在个别不影响整体方案质量的缺陷得0.5分，单项方案未提供不得分；整体 方案内容编制存在严重缺陷或未提供的不得分，满分得3分。（严重缺陷 是指：不满足磋商文件要求、非专门针对本项目或不适用项目特性的情形 、缺少关键节点、套用其他项目方案、内容前后矛盾、不利于项目实施、 不可能实现的情形等任意一种情形。）</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节能措施</w:t>
            </w:r>
          </w:p>
        </w:tc>
        <w:tc>
          <w:tcPr>
            <w:tcW w:type="dxa" w:w="3115"/>
          </w:tcPr>
          <w:p>
            <w:pPr>
              <w:pStyle w:val="null5"/>
              <w:jc w:val="left"/>
            </w:pPr>
            <w:r>
              <w:rPr>
                <w:rFonts w:ascii="仿宋_GB2312" w:hAnsi="仿宋_GB2312" w:cs="仿宋_GB2312" w:eastAsia="仿宋_GB2312"/>
              </w:rPr>
              <w:t>根据供应商提供的节能管理措施进行评审，包含节材与材料资源利用、节 水与水资源利用、节能与能源利用、节地与土地资源利用，共四项方案内 容，单项方案评审规则：单项方案内容编制规范、完整，语言通顺简练的 得1分；语言表述冗长、模糊，只存在个别不影响整体方案质量的缺陷得0. 5分，单项方案未提供不得分；整体方案内容编制存在严重缺陷或未提供 的不得分，满分得4分。（严重缺陷是指：不满足磋商文件要求、非专门 针对本项目或不适用项目特性的情形、缺少关键节点、套用其他项目方案 、内容前后矛盾、不利于项目实施、不可能实现的情形等任意一种情形。</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类似工程业绩评价</w:t>
            </w:r>
          </w:p>
        </w:tc>
        <w:tc>
          <w:tcPr>
            <w:tcW w:type="dxa" w:w="3115"/>
          </w:tcPr>
          <w:p>
            <w:pPr>
              <w:pStyle w:val="null5"/>
              <w:jc w:val="left"/>
            </w:pPr>
            <w:r>
              <w:rPr>
                <w:rFonts w:ascii="仿宋_GB2312" w:hAnsi="仿宋_GB2312" w:cs="仿宋_GB2312" w:eastAsia="仿宋_GB2312"/>
              </w:rPr>
              <w:t>投标人提供2021年至今，施工过类似工程（属于政府财政投资项目，业绩 必须具备中标通知书和施工合同及竣工验收报告（三项缺一不可）；属于 非政府投资项目，业绩必须具备施工合同和竣工验收报告（两项缺一不可 ）），每个类似工程加2分，满分8分。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项目经理业绩</w:t>
            </w:r>
          </w:p>
        </w:tc>
        <w:tc>
          <w:tcPr>
            <w:tcW w:type="dxa" w:w="3115"/>
          </w:tcPr>
          <w:p>
            <w:pPr>
              <w:pStyle w:val="null5"/>
              <w:jc w:val="left"/>
            </w:pPr>
            <w:r>
              <w:rPr>
                <w:rFonts w:ascii="仿宋_GB2312" w:hAnsi="仿宋_GB2312" w:cs="仿宋_GB2312" w:eastAsia="仿宋_GB2312"/>
              </w:rPr>
              <w:t>拟派本项目的项目经理近三年内（2021年至响应文件递交截止时间止）每 承揽过一项类似工程且在本项目中担任项目经理职务的得1分，附合同等 相关证明材料，满分1分。</w:t>
            </w:r>
          </w:p>
        </w:tc>
        <w:tc>
          <w:tcPr>
            <w:tcW w:type="dxa" w:w="1038"/>
          </w:tcPr>
          <w:p>
            <w:pPr>
              <w:pStyle w:val="null5"/>
              <w:jc w:val="right"/>
            </w:pPr>
            <w:r>
              <w:rPr>
                <w:rFonts w:ascii="仿宋_GB2312" w:hAnsi="仿宋_GB2312" w:cs="仿宋_GB2312" w:eastAsia="仿宋_GB2312"/>
              </w:rPr>
              <w:t>1.00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拟投入专业技术力量</w:t>
            </w:r>
          </w:p>
        </w:tc>
        <w:tc>
          <w:tcPr>
            <w:tcW w:type="dxa" w:w="3115"/>
          </w:tcPr>
          <w:p>
            <w:pPr>
              <w:pStyle w:val="null5"/>
              <w:jc w:val="left"/>
            </w:pPr>
            <w:r>
              <w:rPr>
                <w:rFonts w:ascii="仿宋_GB2312" w:hAnsi="仿宋_GB2312" w:cs="仿宋_GB2312" w:eastAsia="仿宋_GB2312"/>
              </w:rPr>
              <w:t>（1）技术负责人拟派本项目技术负责人具有工程类技术职称证书的得1分 ，技术负责人不得同时在2个及以上在建项目中任职，同一在建项目不得 兼任，须提供承诺书，满分1分；（2）拟派其他项目管理机构人员，包括 技施工员、质检员、安全员、材料员、资料员具备有效的相应执业资格证 或岗位证书或职业培训合格证书，安全员还需具备有效的C类安全考核合 格证（安全员的C类安全考核合格证和岗位证书合并颁发的，可不提供安 全员的岗位证书）；其中施工员、质量员、安全员不得同时在2个及以上 在建项目中任职，同一在建项目不得兼任，须提供承诺书。以上专职人员 的岗位设置，有一项得1分，满分5分。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