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动物强制免疫疫苗</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奈曼旗动物疫病预防控制中心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内蒙古钧浧招投标有限公司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NMQZCS-G-H-250007</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内蒙古钧浧招投标有限公司</w:t>
      </w:r>
      <w:r>
        <w:rPr>
          <w:rFonts w:ascii="仿宋_GB2312" w:hAnsi="仿宋_GB2312" w:cs="仿宋_GB2312" w:eastAsia="仿宋_GB2312"/>
        </w:rPr>
        <w:t xml:space="preserve"> 受 </w:t>
      </w:r>
      <w:r>
        <w:rPr>
          <w:rFonts w:ascii="仿宋_GB2312" w:hAnsi="仿宋_GB2312" w:cs="仿宋_GB2312" w:eastAsia="仿宋_GB2312"/>
        </w:rPr>
        <w:t>奈曼旗动物疫病预防控制中心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动物强制免疫疫苗</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动物强制免疫疫苗</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NMQZCS-G-H-250007</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150525[2025]00097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963,000.00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重组禽流感病毒（H5+H7)三价灭活疫苗</w:t>
            </w:r>
          </w:p>
        </w:tc>
        <w:tc>
          <w:tcPr>
            <w:tcW w:type="dxa" w:w="831"/>
          </w:tcPr>
          <w:p>
            <w:pPr>
              <w:pStyle w:val="null5"/>
              <w:jc w:val="right"/>
            </w:pPr>
            <w:r>
              <w:rPr>
                <w:rFonts w:ascii="仿宋_GB2312" w:hAnsi="仿宋_GB2312" w:cs="仿宋_GB2312" w:eastAsia="仿宋_GB2312"/>
              </w:rPr>
              <w:t>201.00</w:t>
            </w:r>
          </w:p>
        </w:tc>
        <w:tc>
          <w:tcPr>
            <w:tcW w:type="dxa" w:w="831"/>
          </w:tcPr>
          <w:p>
            <w:pPr>
              <w:pStyle w:val="null5"/>
              <w:jc w:val="right"/>
            </w:pPr>
            <w:r>
              <w:rPr>
                <w:rFonts w:ascii="仿宋_GB2312" w:hAnsi="仿宋_GB2312" w:cs="仿宋_GB2312" w:eastAsia="仿宋_GB2312"/>
              </w:rPr>
              <w:t>603,000.00</w:t>
            </w:r>
          </w:p>
        </w:tc>
        <w:tc>
          <w:tcPr>
            <w:tcW w:type="dxa" w:w="831"/>
          </w:tcPr>
          <w:p>
            <w:pPr>
              <w:pStyle w:val="null5"/>
              <w:jc w:val="left"/>
            </w:pPr>
            <w:r>
              <w:rPr>
                <w:rFonts w:ascii="仿宋_GB2312" w:hAnsi="仿宋_GB2312" w:cs="仿宋_GB2312" w:eastAsia="仿宋_GB2312"/>
              </w:rPr>
              <w:t>万毫升</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猪口蹄疫O型A型二价合成肽疫苗</w:t>
            </w:r>
          </w:p>
        </w:tc>
        <w:tc>
          <w:tcPr>
            <w:tcW w:type="dxa" w:w="831"/>
          </w:tcPr>
          <w:p>
            <w:pPr>
              <w:pStyle w:val="null5"/>
              <w:jc w:val="right"/>
            </w:pPr>
            <w:r>
              <w:rPr>
                <w:rFonts w:ascii="仿宋_GB2312" w:hAnsi="仿宋_GB2312" w:cs="仿宋_GB2312" w:eastAsia="仿宋_GB2312"/>
              </w:rPr>
              <w:t>36.00</w:t>
            </w:r>
          </w:p>
        </w:tc>
        <w:tc>
          <w:tcPr>
            <w:tcW w:type="dxa" w:w="831"/>
          </w:tcPr>
          <w:p>
            <w:pPr>
              <w:pStyle w:val="null5"/>
              <w:jc w:val="right"/>
            </w:pPr>
            <w:r>
              <w:rPr>
                <w:rFonts w:ascii="仿宋_GB2312" w:hAnsi="仿宋_GB2312" w:cs="仿宋_GB2312" w:eastAsia="仿宋_GB2312"/>
              </w:rPr>
              <w:t>360,000.00</w:t>
            </w:r>
          </w:p>
        </w:tc>
        <w:tc>
          <w:tcPr>
            <w:tcW w:type="dxa" w:w="831"/>
          </w:tcPr>
          <w:p>
            <w:pPr>
              <w:pStyle w:val="null5"/>
              <w:jc w:val="left"/>
            </w:pPr>
            <w:r>
              <w:rPr>
                <w:rFonts w:ascii="仿宋_GB2312" w:hAnsi="仿宋_GB2312" w:cs="仿宋_GB2312" w:eastAsia="仿宋_GB2312"/>
              </w:rPr>
              <w:t>万头份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资质要求：供应商为生产企业的需提供兽药GMP证书、生产许可证（含相关疫苗或试剂生产线）；若供应商为非投标产品的生产企业需提供兽药经营许可证及相应产品生产企业的兽药GMP证书、生产许可证（含相关疫苗或试剂生产线）。</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监督单位 奈曼旗财政局 监督电话：0475-4219212 开标评标服务专线 15949411084 “政采贷”政策说明 凡已在内蒙古自治区政府采购云平台供应商库中登记，并依法取得内蒙古自治区内政府采购合同的区内中小企业（含个体工商户）供应商，均可申请政府采购合同融资。</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内蒙古钧浧招投标有限公司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内蒙古自治区锡林郭勒盟锡林浩特市西二环华新未来城4号楼3层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026000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冀忠</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15624638747</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奈曼旗动物疫病预防控制中心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奈曼大街4358</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028300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倪志强</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15848953339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代理服务费收费标准：参照内蒙古自治区工程建设协会《内蒙古自治区建设工程招标代理服务收费指导意见》【内工建协(2022)34号】文件规定的收费标准收取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奈曼旗动物疫病预防控制中心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内蒙古钧浧招投标有限公司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资质要求</w:t>
            </w:r>
          </w:p>
        </w:tc>
        <w:tc>
          <w:tcPr>
            <w:tcW w:type="dxa" w:w="4984"/>
          </w:tcPr>
          <w:p>
            <w:pPr>
              <w:pStyle w:val="null5"/>
              <w:jc w:val="left"/>
            </w:pPr>
            <w:r>
              <w:rPr>
                <w:rFonts w:ascii="仿宋_GB2312" w:hAnsi="仿宋_GB2312" w:cs="仿宋_GB2312" w:eastAsia="仿宋_GB2312"/>
              </w:rPr>
              <w:t>供应商为生产企业的需提供兽药GMP证书、生产许可证（含相关疫苗或试剂生产线）；若供应商为非投标产品的生产企业需提供兽药经营许可证及相应产品生产企业的兽药GMP证书、生产许可证（含相关疫苗或试剂生产线）。</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为防止全旗发生动物传染疾病，采购强制免疫疫苗，对动物疾病进行预防控制。</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合同签订后3个日历日内交货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采购人要求的地点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1、支付比例50%，疫苗到货后支付合同价款50%（具体付款进度根据财政款项拨付进度确定），达到付款条件起10日，支付合同总金额的50.00%</w:t>
            </w:r>
          </w:p>
          <w:p>
            <w:pPr>
              <w:pStyle w:val="null5"/>
              <w:jc w:val="left"/>
            </w:pPr>
            <w:r>
              <w:rPr>
                <w:rFonts w:ascii="仿宋_GB2312" w:hAnsi="仿宋_GB2312" w:cs="仿宋_GB2312" w:eastAsia="仿宋_GB2312"/>
              </w:rPr>
              <w:t>2、支付比例50%，防疫完成后支付合同价款的50%（具体付款进度根据财政款项拨付进度确定），达到付款条件起10日，支付合同总金额的50.00%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1、供应商应具有可靠的供货实力，有高素质的服务队伍。在接到用户服务请求后，提供快捷、周到、规范的服务。2、供应商须指派专人负责与采购方联系售后服务事宜。3、供应商售后服务响应时间：每周（7天）×（24）小时，自接到采购方电话2小时内响应，12小时内有注册执业兽医师到达业主要求地点，提供专业高效的售后服务。4、供应商指派注册执业兽医师负责对使用该疫苗的采购方的技术人员进行疫苗使用的技术培训。5、如因免疫失败，导致疫情爆发，双方会同有关部门组成调查组查清原因，经权威部门确认是由产品质量原因造成的，供应商应承担由此发生的一切费用。6、供应商按国家规定的疫苗运输要求将疫苗运到后，由双方现场随机抽样封存待检，如果产品不符合要求（产品质量及包装等），供应商必须承担相应的经济处罚，并承担相关法律责任。7、疫苗的运输车辆必须是冷链车。8、严格遵守和采购方的售后服务承诺。9、供应商所提供的所有产品均须满足并符合国家产品的相关质量标准。</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标的名称：重组禽流感病毒（H5+H7)三价灭活疫苗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4"/>
              </w:rPr>
              <w:t>1、规格：250毫升/瓶；</w:t>
            </w:r>
          </w:p>
          <w:p>
            <w:pPr>
              <w:pStyle w:val="null5"/>
              <w:jc w:val="left"/>
            </w:pPr>
            <w:r>
              <w:rPr>
                <w:rFonts w:ascii="仿宋_GB2312" w:hAnsi="仿宋_GB2312" w:cs="仿宋_GB2312" w:eastAsia="仿宋_GB2312"/>
                <w:sz w:val="24"/>
              </w:rPr>
              <w:t>2、用于预防高致病性禽流感；产品2～8℃保存，有效期为12个月；</w:t>
            </w:r>
          </w:p>
          <w:p>
            <w:pPr>
              <w:pStyle w:val="null5"/>
              <w:jc w:val="left"/>
            </w:pPr>
            <w:r>
              <w:rPr>
                <w:rFonts w:ascii="仿宋_GB2312" w:hAnsi="仿宋_GB2312" w:cs="仿宋_GB2312" w:eastAsia="仿宋_GB2312"/>
                <w:sz w:val="24"/>
              </w:rPr>
              <w:t>3、毒株：H5N6 H5-Re13株+H5N8H5-Re14株+H7N9H7-Re4株；</w:t>
            </w:r>
          </w:p>
          <w:p>
            <w:pPr>
              <w:pStyle w:val="null5"/>
              <w:jc w:val="left"/>
            </w:pPr>
            <w:r>
              <w:rPr>
                <w:rFonts w:ascii="仿宋_GB2312" w:hAnsi="仿宋_GB2312" w:cs="仿宋_GB2312" w:eastAsia="仿宋_GB2312"/>
                <w:sz w:val="24"/>
              </w:rPr>
              <w:t>★4、产品需使用禽胚培养生产；</w:t>
            </w:r>
          </w:p>
          <w:p>
            <w:pPr>
              <w:pStyle w:val="null5"/>
              <w:jc w:val="left"/>
            </w:pPr>
            <w:r>
              <w:rPr>
                <w:rFonts w:ascii="仿宋_GB2312" w:hAnsi="仿宋_GB2312" w:cs="仿宋_GB2312" w:eastAsia="仿宋_GB2312"/>
                <w:sz w:val="24"/>
              </w:rPr>
              <w:t>5</w:t>
            </w:r>
            <w:r>
              <w:rPr>
                <w:rFonts w:ascii="仿宋_GB2312" w:hAnsi="仿宋_GB2312" w:cs="仿宋_GB2312" w:eastAsia="仿宋_GB2312"/>
                <w:sz w:val="24"/>
              </w:rPr>
              <w:t>、粘度不超过</w:t>
            </w:r>
            <w:r>
              <w:rPr>
                <w:rFonts w:ascii="仿宋_GB2312" w:hAnsi="仿宋_GB2312" w:cs="仿宋_GB2312" w:eastAsia="仿宋_GB2312"/>
                <w:sz w:val="24"/>
              </w:rPr>
              <w:t>70cP，HI效价平均滴度（GMT)均不低于1:128，甲醛残留量测定不超过0.08%；</w:t>
            </w:r>
          </w:p>
          <w:p>
            <w:pPr>
              <w:pStyle w:val="null5"/>
              <w:jc w:val="left"/>
            </w:pPr>
            <w:r>
              <w:rPr>
                <w:rFonts w:ascii="仿宋_GB2312" w:hAnsi="仿宋_GB2312" w:cs="仿宋_GB2312" w:eastAsia="仿宋_GB2312"/>
                <w:sz w:val="24"/>
              </w:rPr>
              <w:t>6</w:t>
            </w:r>
            <w:r>
              <w:rPr>
                <w:rFonts w:ascii="仿宋_GB2312" w:hAnsi="仿宋_GB2312" w:cs="仿宋_GB2312" w:eastAsia="仿宋_GB2312"/>
                <w:sz w:val="24"/>
              </w:rPr>
              <w:t>、使用安全、无不良反应，接种后</w:t>
            </w:r>
            <w:r>
              <w:rPr>
                <w:rFonts w:ascii="仿宋_GB2312" w:hAnsi="仿宋_GB2312" w:cs="仿宋_GB2312" w:eastAsia="仿宋_GB2312"/>
                <w:sz w:val="24"/>
              </w:rPr>
              <w:t>14日产生免疫力，鸡免疫期为6个月；鸭、鹅首免后3周，加强接种1次，免疫期为4个月；</w:t>
            </w:r>
          </w:p>
          <w:p>
            <w:pPr>
              <w:pStyle w:val="null5"/>
              <w:jc w:val="left"/>
            </w:pPr>
            <w:r>
              <w:rPr>
                <w:rFonts w:ascii="仿宋_GB2312" w:hAnsi="仿宋_GB2312" w:cs="仿宋_GB2312" w:eastAsia="仿宋_GB2312"/>
                <w:sz w:val="24"/>
              </w:rPr>
              <w:t>7</w:t>
            </w:r>
            <w:r>
              <w:rPr>
                <w:rFonts w:ascii="仿宋_GB2312" w:hAnsi="仿宋_GB2312" w:cs="仿宋_GB2312" w:eastAsia="仿宋_GB2312"/>
                <w:sz w:val="24"/>
              </w:rPr>
              <w:t>、交货时有效期在</w:t>
            </w:r>
            <w:r>
              <w:rPr>
                <w:rFonts w:ascii="仿宋_GB2312" w:hAnsi="仿宋_GB2312" w:cs="仿宋_GB2312" w:eastAsia="仿宋_GB2312"/>
                <w:sz w:val="24"/>
              </w:rPr>
              <w:t>9个月以上；</w:t>
            </w:r>
          </w:p>
          <w:p>
            <w:pPr>
              <w:pStyle w:val="null5"/>
              <w:jc w:val="left"/>
            </w:pPr>
            <w:r>
              <w:rPr>
                <w:rFonts w:ascii="仿宋_GB2312" w:hAnsi="仿宋_GB2312" w:cs="仿宋_GB2312" w:eastAsia="仿宋_GB2312"/>
                <w:sz w:val="24"/>
              </w:rPr>
              <w:t>8</w:t>
            </w:r>
            <w:r>
              <w:rPr>
                <w:rFonts w:ascii="仿宋_GB2312" w:hAnsi="仿宋_GB2312" w:cs="仿宋_GB2312" w:eastAsia="仿宋_GB2312"/>
                <w:sz w:val="24"/>
              </w:rPr>
              <w:t>、为保证产品质量和服务，需在投标文件内提供生产厂家符合以上参数的批签发报告，及针对本项目的免疫失败和副反应处理承诺书原件扫描件；</w:t>
            </w:r>
          </w:p>
          <w:p>
            <w:pPr>
              <w:pStyle w:val="null5"/>
              <w:jc w:val="left"/>
            </w:pPr>
            <w:r>
              <w:rPr>
                <w:rFonts w:ascii="仿宋_GB2312" w:hAnsi="仿宋_GB2312" w:cs="仿宋_GB2312" w:eastAsia="仿宋_GB2312"/>
                <w:sz w:val="24"/>
              </w:rPr>
              <w:t>9</w:t>
            </w:r>
            <w:r>
              <w:rPr>
                <w:rFonts w:ascii="仿宋_GB2312" w:hAnsi="仿宋_GB2312" w:cs="仿宋_GB2312" w:eastAsia="仿宋_GB2312"/>
                <w:sz w:val="24"/>
              </w:rPr>
              <w:t>、提供加盖生产企业公章的农业农村部颁发批准文号批件复印件</w:t>
            </w:r>
          </w:p>
        </w:tc>
      </w:tr>
    </w:tbl>
    <w:p>
      <w:pPr>
        <w:pStyle w:val="null5"/>
        <w:jc w:val="left"/>
      </w:pPr>
      <w:r>
        <w:rPr>
          <w:rFonts w:ascii="仿宋_GB2312" w:hAnsi="仿宋_GB2312" w:cs="仿宋_GB2312" w:eastAsia="仿宋_GB2312"/>
        </w:rPr>
        <w:t>标的名称：猪口蹄疫O型A型二价合成肽疫苗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50毫升/瓶或100毫升/瓶；</w:t>
            </w:r>
          </w:p>
          <w:p>
            <w:pPr>
              <w:pStyle w:val="null5"/>
              <w:jc w:val="left"/>
            </w:pPr>
            <w:r>
              <w:rPr>
                <w:rFonts w:ascii="仿宋_GB2312" w:hAnsi="仿宋_GB2312" w:cs="仿宋_GB2312" w:eastAsia="仿宋_GB2312"/>
                <w:sz w:val="24"/>
              </w:rPr>
              <w:t>2、</w:t>
            </w:r>
            <w:r>
              <w:rPr>
                <w:rFonts w:ascii="仿宋_GB2312" w:hAnsi="仿宋_GB2312" w:cs="仿宋_GB2312" w:eastAsia="仿宋_GB2312"/>
                <w:sz w:val="24"/>
              </w:rPr>
              <w:t>用于预防猪</w:t>
            </w:r>
            <w:r>
              <w:rPr>
                <w:rFonts w:ascii="仿宋_GB2312" w:hAnsi="仿宋_GB2312" w:cs="仿宋_GB2312" w:eastAsia="仿宋_GB2312"/>
                <w:sz w:val="24"/>
              </w:rPr>
              <w:t>0型口蹄疫；免疫期为6个月。2～8℃保存，有效期为18个月；</w:t>
            </w:r>
          </w:p>
          <w:p>
            <w:pPr>
              <w:pStyle w:val="null5"/>
              <w:jc w:val="left"/>
            </w:pPr>
            <w:r>
              <w:rPr>
                <w:rFonts w:ascii="仿宋_GB2312" w:hAnsi="仿宋_GB2312" w:cs="仿宋_GB2312" w:eastAsia="仿宋_GB2312"/>
                <w:sz w:val="24"/>
              </w:rPr>
              <w:t>3、</w:t>
            </w:r>
            <w:r>
              <w:rPr>
                <w:rFonts w:ascii="仿宋_GB2312" w:hAnsi="仿宋_GB2312" w:cs="仿宋_GB2312" w:eastAsia="仿宋_GB2312"/>
                <w:sz w:val="24"/>
              </w:rPr>
              <w:t>毒株：多肽</w:t>
            </w:r>
            <w:r>
              <w:rPr>
                <w:rFonts w:ascii="仿宋_GB2312" w:hAnsi="仿宋_GB2312" w:cs="仿宋_GB2312" w:eastAsia="仿宋_GB2312"/>
                <w:sz w:val="24"/>
              </w:rPr>
              <w:t>2600+2700+2800；</w:t>
            </w:r>
          </w:p>
          <w:p>
            <w:pPr>
              <w:pStyle w:val="null5"/>
              <w:jc w:val="left"/>
            </w:pPr>
            <w:r>
              <w:rPr>
                <w:rFonts w:ascii="仿宋_GB2312" w:hAnsi="仿宋_GB2312" w:cs="仿宋_GB2312" w:eastAsia="仿宋_GB2312"/>
                <w:sz w:val="24"/>
              </w:rPr>
              <w:t>4、效力检验：每头份疫苗含口蹄疫O型不低于8个PD50；猪口蹄疫病毒合成肽抗原至少25ug/头份；内毒素含量≤10EU/头份；总蛋白含量≤300µg/毫升；</w:t>
            </w:r>
          </w:p>
          <w:p>
            <w:pPr>
              <w:pStyle w:val="null5"/>
              <w:jc w:val="left"/>
            </w:pPr>
            <w:r>
              <w:rPr>
                <w:rFonts w:ascii="仿宋_GB2312" w:hAnsi="仿宋_GB2312" w:cs="仿宋_GB2312" w:eastAsia="仿宋_GB2312"/>
                <w:sz w:val="24"/>
              </w:rPr>
              <w:t>5、交货时有效期在9个月以上；</w:t>
            </w:r>
          </w:p>
          <w:p>
            <w:pPr>
              <w:pStyle w:val="null5"/>
              <w:jc w:val="left"/>
            </w:pPr>
            <w:r>
              <w:rPr>
                <w:rFonts w:ascii="仿宋_GB2312" w:hAnsi="仿宋_GB2312" w:cs="仿宋_GB2312" w:eastAsia="仿宋_GB2312"/>
                <w:sz w:val="24"/>
              </w:rPr>
              <w:t>6、为保证产品质量和服务，需在投标文件内提供生产厂家符合以上参数的批签发报告，及针对本项目的免疫失败和副反应处理承诺书原件扫描件；</w:t>
            </w:r>
          </w:p>
          <w:p>
            <w:pPr>
              <w:pStyle w:val="null5"/>
              <w:jc w:val="left"/>
            </w:pPr>
            <w:r>
              <w:rPr>
                <w:rFonts w:ascii="仿宋_GB2312" w:hAnsi="仿宋_GB2312" w:cs="仿宋_GB2312" w:eastAsia="仿宋_GB2312"/>
                <w:sz w:val="24"/>
              </w:rPr>
              <w:t>7、提供加盖生产企业公章的农业农村部颁发批准文号批件复印件</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技术部分54.00分</w:t>
            </w:r>
          </w:p>
          <w:p>
            <w:pPr>
              <w:pStyle w:val="null5"/>
              <w:jc w:val="left"/>
            </w:pPr>
            <w:r>
              <w:rPr>
                <w:rFonts w:ascii="仿宋_GB2312" w:hAnsi="仿宋_GB2312" w:cs="仿宋_GB2312" w:eastAsia="仿宋_GB2312"/>
              </w:rPr>
              <w:t>商务部分16.00分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 (10分)</w:t>
            </w:r>
          </w:p>
        </w:tc>
        <w:tc>
          <w:tcPr>
            <w:tcW w:type="dxa" w:w="3115"/>
          </w:tcPr>
          <w:p>
            <w:pPr>
              <w:pStyle w:val="null5"/>
              <w:jc w:val="left"/>
            </w:pPr>
            <w:r>
              <w:rPr>
                <w:rFonts w:ascii="仿宋_GB2312" w:hAnsi="仿宋_GB2312" w:cs="仿宋_GB2312" w:eastAsia="仿宋_GB2312"/>
              </w:rPr>
              <w:t>技术参数全部满足招标文件要求的得10分。“★”参数为核心技术参数，有一项不满足或负偏离视为无效标；一般性技术参数（未标注★的技术参数）一项不满足扣2.5分，扣完为止。 注：投标文件中需提供有效佐证材料（检测报告，或技术白皮书，或产品标签等技术佐证文件）</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供货方案 (10分)</w:t>
            </w:r>
          </w:p>
        </w:tc>
        <w:tc>
          <w:tcPr>
            <w:tcW w:type="dxa" w:w="3115"/>
          </w:tcPr>
          <w:p>
            <w:pPr>
              <w:pStyle w:val="null5"/>
              <w:jc w:val="left"/>
            </w:pPr>
            <w:r>
              <w:rPr>
                <w:rFonts w:ascii="仿宋_GB2312" w:hAnsi="仿宋_GB2312" w:cs="仿宋_GB2312" w:eastAsia="仿宋_GB2312"/>
              </w:rPr>
              <w:t>根据投标人提供的供货方案进行评分，内容包括：(1)备货方案，(2)运输方案，(3)产品包装方案，(4)验收方案。以上内容全面详细，满足采购文件要求且阐述条理清晰，符合项目实际需求的得10分。 每缺一项扣2.5分，所提供的方案中每有一处缺陷或不合理扣1分，扣完为止。 【注：内容缺陷或不合理是指：非专门针对本项目或与实际情况不符、不适用；存在与项目无关的文字内容；对采购需求理解缺位混乱；内容不完整或缺少关键节点、套用其他项目内容、内容前后矛盾、涉及的规范及标准错误、不利于项目实施、不可能实现的情形等任意一种情形。】</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质量保证方案 (10分)</w:t>
            </w:r>
          </w:p>
        </w:tc>
        <w:tc>
          <w:tcPr>
            <w:tcW w:type="dxa" w:w="3115"/>
          </w:tcPr>
          <w:p>
            <w:pPr>
              <w:pStyle w:val="null5"/>
              <w:jc w:val="left"/>
            </w:pPr>
            <w:r>
              <w:rPr>
                <w:rFonts w:ascii="仿宋_GB2312" w:hAnsi="仿宋_GB2312" w:cs="仿宋_GB2312" w:eastAsia="仿宋_GB2312"/>
              </w:rPr>
              <w:t>根据投标人提供的质量保证方案进行评审，内容包括：(1)质量管理目标，(2)质量管理计划，(3)质量管理措施，(4)质量管理组织机构，以上内容全面详细，满足采购文件要求且阐述条理清晰，符合项目实际需求的得10分。 每缺一项扣2.5分，所提供的方案中每有一处缺陷或不合理扣1分，扣完为止。 【注：内容缺陷或不合理是指：非专门针对本项目或与实际情况不符、不适用；存在与项目无关的文字内容；对采购需求理解缺位混乱；内容不完整或缺少关键节点、套用其他项目内容、内容前后矛盾、涉及的规范及标准错误、不利于项目实施、不可能实现的情形等任意一种情形。】</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免疫副反应处理（8分）</w:t>
            </w:r>
          </w:p>
        </w:tc>
        <w:tc>
          <w:tcPr>
            <w:tcW w:type="dxa" w:w="3115"/>
          </w:tcPr>
          <w:p>
            <w:pPr>
              <w:pStyle w:val="null5"/>
              <w:jc w:val="left"/>
            </w:pPr>
            <w:r>
              <w:rPr>
                <w:rFonts w:ascii="仿宋_GB2312" w:hAnsi="仿宋_GB2312" w:cs="仿宋_GB2312" w:eastAsia="仿宋_GB2312"/>
              </w:rPr>
              <w:t>根据投标人拟提供的免疫副反应处理方案进行评审，内容包括：(1)免疫副反应的预防，(2)免疫副反应分析鉴定，(3)免疫副反应的处置，(4)免疫副反应处理方案。 以上内容全面详细，满足采购文件要求且阐述条理清晰，符合项目实际需求的得8分。 每缺一项扣2分，所提供的方案中每有一处缺陷或不合理扣1分，扣完为止。 【注：内容缺陷或不合理是指：非专门针对本项目或与实际情况不符、不适用；存在与项目无关的文字内容；对采购需求理解缺位混乱；内容不完整或缺少关键节点、套用其他项目内容、内容前后矛盾、涉及的规范及标准错误、不利于项目实施、不可能实现的情形等任意一种情形。】</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应急方案（8分）</w:t>
            </w:r>
          </w:p>
        </w:tc>
        <w:tc>
          <w:tcPr>
            <w:tcW w:type="dxa" w:w="3115"/>
          </w:tcPr>
          <w:p>
            <w:pPr>
              <w:pStyle w:val="null5"/>
              <w:jc w:val="left"/>
            </w:pPr>
            <w:r>
              <w:rPr>
                <w:rFonts w:ascii="仿宋_GB2312" w:hAnsi="仿宋_GB2312" w:cs="仿宋_GB2312" w:eastAsia="仿宋_GB2312"/>
              </w:rPr>
              <w:t>根据投标人提供的应急方案，进行评审，内容包括：(1)供货应急方案，(2)质量问题处理预案，(3)突发事故处理预案，(4)响应时间。以上内容全面详细，满足采购文件要求且阐述条理清晰，符合项目实际需求的得8分。 每缺一项扣2分，所提供的方案中每有一处缺陷或不合理扣1分，扣完为止。 【注：内容缺陷或不合理是指：非专门针对本项目或与实际情况不符、不适用；存在与项目无关的文字内容；对采购需求理解缺位混乱；内容不完整或缺少关键节点、套用其他项目内容、内容前后矛盾、涉及的规范及标准错误、不利于项目实施、不可能实现的情形等任意一种情形。】</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培训方案（8分）</w:t>
            </w:r>
          </w:p>
        </w:tc>
        <w:tc>
          <w:tcPr>
            <w:tcW w:type="dxa" w:w="3115"/>
          </w:tcPr>
          <w:p>
            <w:pPr>
              <w:pStyle w:val="null5"/>
              <w:jc w:val="left"/>
            </w:pPr>
            <w:r>
              <w:rPr>
                <w:rFonts w:ascii="仿宋_GB2312" w:hAnsi="仿宋_GB2312" w:cs="仿宋_GB2312" w:eastAsia="仿宋_GB2312"/>
              </w:rPr>
              <w:t>根据投标人提供的培训方案内容进行评审，内容包括：(1)培训组织结构，(2)培训实施计划，(3)培训方式与内容，(4)培训考核及评估。以上内容全面详细，满足采购文件要求且阐述条理清晰，符合项目实际需求的得8分。 每缺一项扣2分，所提供的方案中每有一处缺陷或不合理扣1分，扣完为止。 【注：内容缺陷或不合理是指：非专门针对本项目或与实际情况不符、不适用；存在与项目无关的文字内容；对采购需求理解缺位混乱；内容不完整或缺少关键节点、套用其他项目内容、内容前后矛盾、涉及的规范及标准错误、不利于项目实施、不可能实现的情形等任意一种情形。】</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 (5分)</w:t>
            </w:r>
          </w:p>
        </w:tc>
        <w:tc>
          <w:tcPr>
            <w:tcW w:type="dxa" w:w="3115"/>
          </w:tcPr>
          <w:p>
            <w:pPr>
              <w:pStyle w:val="null5"/>
              <w:jc w:val="left"/>
            </w:pPr>
            <w:r>
              <w:rPr>
                <w:rFonts w:ascii="仿宋_GB2312" w:hAnsi="仿宋_GB2312" w:cs="仿宋_GB2312" w:eastAsia="仿宋_GB2312"/>
              </w:rPr>
              <w:t>根据投标人提供的同类产品供货业绩进行评审，提供2023年1月1日至投标截止时间，每提供一份业绩证明材料得1分，最多得5分。 注：投标文件中须附合同原件扫描件（以合同签订时间为准，合同未填写时间不予计分）。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本项目的组成人员 (4分)</w:t>
            </w:r>
          </w:p>
        </w:tc>
        <w:tc>
          <w:tcPr>
            <w:tcW w:type="dxa" w:w="3115"/>
          </w:tcPr>
          <w:p>
            <w:pPr>
              <w:pStyle w:val="null5"/>
              <w:jc w:val="left"/>
            </w:pPr>
            <w:r>
              <w:rPr>
                <w:rFonts w:ascii="仿宋_GB2312" w:hAnsi="仿宋_GB2312" w:cs="仿宋_GB2312" w:eastAsia="仿宋_GB2312"/>
              </w:rPr>
              <w:t>供应商管理人员、技术人员需具有兽医相关执业资格证书或兽医相关专业高级(含)以上职称证书，同时提供企业为其缴纳社保的证明材料（2024年6月至投标截止时间至少1个月），每提供一人得0.5分，最多得4分。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售后服务（7分）</w:t>
            </w:r>
          </w:p>
        </w:tc>
        <w:tc>
          <w:tcPr>
            <w:tcW w:type="dxa" w:w="3115"/>
          </w:tcPr>
          <w:p>
            <w:pPr>
              <w:pStyle w:val="null5"/>
              <w:jc w:val="left"/>
            </w:pPr>
            <w:r>
              <w:rPr>
                <w:rFonts w:ascii="仿宋_GB2312" w:hAnsi="仿宋_GB2312" w:cs="仿宋_GB2312" w:eastAsia="仿宋_GB2312"/>
              </w:rPr>
              <w:t>根据供应商承诺对所提供的产品使用情况实施全天候的技术支持和跟踪服务，并制定完善的售前、售中、售后技术服务方案情况进行评审，售后服务方案内容描述完整，各项内容描述详细合理，充分考虑用户需求，内容针对性和可行性高、能够给出优质服务方案的得7分，售后服务方案内容描述完整，各项内容描述合理，考虑用户需求，内容针对性和可行性一般能够给出服务方案的得4分，售后服务方案内容描述完整、各项内容描述有偏差，计划操作性一般的得1分，未提供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