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全民所有自然资源资产清查项目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扎鲁特旗自然资源局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内蒙古天莳项目管理有限公司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ZLTQZCS-C-F-250002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内蒙古天莳项目管理有限公司</w:t>
      </w:r>
      <w:r>
        <w:rPr>
          <w:rFonts w:ascii="仿宋_GB2312" w:hAnsi="仿宋_GB2312" w:cs="仿宋_GB2312" w:eastAsia="仿宋_GB2312"/>
        </w:rPr>
        <w:t xml:space="preserve"> 受 </w:t>
      </w:r>
      <w:r>
        <w:rPr>
          <w:rFonts w:ascii="仿宋_GB2312" w:hAnsi="仿宋_GB2312" w:cs="仿宋_GB2312" w:eastAsia="仿宋_GB2312"/>
        </w:rPr>
        <w:t>扎鲁特旗自然资源局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全民所有自然资源资产清查项目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全民所有自然资源资产清查项目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ZLTQZCS-C-F-250002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150526[2025]00011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扎鲁特旗全民所有自然资源资产清查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1、资质要求：供应商具有行业主管部门核发的土地评估和测绘（乙级或乙级以上）资质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内蒙古天莳项目管理有限公司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永清办事处城市之星小区11层20号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15947780405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扎鲁特旗自然资源局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扎鲁特旗鲁北镇工业园区西侧</w:t>
      </w:r>
    </w:p>
    <w:p>
      <w:pPr>
        <w:pStyle w:val="null5"/>
      </w:pPr>
      <w:r>
        <w:rPr>
          <w:rFonts w:ascii="仿宋_GB2312" w:hAnsi="仿宋_GB2312" w:cs="仿宋_GB2312" w:eastAsia="仿宋_GB2312"/>
        </w:rPr>
        <w:t xml:space="preserve"> 邮编： </w:t>
      </w:r>
      <w:r>
        <w:rPr>
          <w:rFonts w:ascii="仿宋_GB2312" w:hAnsi="仿宋_GB2312" w:cs="仿宋_GB2312" w:eastAsia="仿宋_GB2312"/>
        </w:rPr>
        <w:t>029100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霍晓春</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15149910588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招标代理机构参按照内工建协[2022]34号《内蒙古自治区建设工程招标代理服务收费指导意见》的文件规定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扎鲁特旗自然资源局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内蒙古天莳项目管理有限公司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完成全民所有自然资源资产清查工作并完成核查质检入库，完成基准时点的全民所有土地、矿产、森林、草原、湿地、水资源等资产的物量清查，并完成物量成果自检，完成各类资源门类自治区级的资产清查价格体系更新和完善，配合国家级核查质检，完成成果汇交入库</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至2026年6月30日前完成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扎鲁特旗自然资源局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1、自合同签订之日起7日内预付30%，达到付款条件起7日，支付合同总金额的30.00%</w:t>
            </w:r>
          </w:p>
          <w:p>
            <w:pPr>
              <w:pStyle w:val="null5"/>
              <w:jc w:val="left"/>
            </w:pPr>
            <w:r>
              <w:rPr>
                <w:rFonts w:ascii="仿宋_GB2312" w:hAnsi="仿宋_GB2312" w:cs="仿宋_GB2312" w:eastAsia="仿宋_GB2312"/>
              </w:rPr>
              <w:t>2、初步成果完成并交付，达到付款条件起7日，支付合同总金额的20.00%</w:t>
            </w:r>
          </w:p>
          <w:p>
            <w:pPr>
              <w:pStyle w:val="null5"/>
              <w:jc w:val="left"/>
            </w:pPr>
            <w:r>
              <w:rPr>
                <w:rFonts w:ascii="仿宋_GB2312" w:hAnsi="仿宋_GB2312" w:cs="仿宋_GB2312" w:eastAsia="仿宋_GB2312"/>
              </w:rPr>
              <w:t>3、总体验收合格后，达到付款条件起7日，支付合同总金额的50.00%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标的名称：扎鲁特旗全民所有自然资源资产清查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color w:val="000000"/>
              </w:rPr>
              <w:t>一、项目背景</w:t>
            </w:r>
          </w:p>
          <w:p>
            <w:pPr>
              <w:pStyle w:val="null5"/>
              <w:ind w:firstLine="560"/>
              <w:jc w:val="left"/>
            </w:pPr>
            <w:r>
              <w:rPr>
                <w:rFonts w:ascii="仿宋_GB2312" w:hAnsi="仿宋_GB2312" w:cs="仿宋_GB2312" w:eastAsia="仿宋_GB2312"/>
                <w:sz w:val="28"/>
                <w:color w:val="000000"/>
              </w:rPr>
              <w:t>为摸清自治区全民所有自然资源资产家底，夯实自然资源资产管理基础，履行全民所有自然资源资产所有者职责，更好地服务国有自然资源资产管理情况专项报告和全民所有自然资源资产负债表编制等工作，按照《自然资源部关于全面开展全民所有自然资源资产清查工作的通知》（自然资发〔</w:t>
            </w:r>
            <w:r>
              <w:rPr>
                <w:rFonts w:ascii="仿宋_GB2312" w:hAnsi="仿宋_GB2312" w:cs="仿宋_GB2312" w:eastAsia="仿宋_GB2312"/>
                <w:sz w:val="28"/>
                <w:color w:val="000000"/>
              </w:rPr>
              <w:t>2024〕127号）和《内蒙古自治区自然资源厅关于全面开展全民所有自然资源资产清查工作的通知》（〔2024〕421号）文件要求，全面开展扎鲁特旗全民所有自然资源资产清查工作。</w:t>
            </w:r>
          </w:p>
          <w:p>
            <w:pPr>
              <w:pStyle w:val="null5"/>
              <w:ind w:firstLine="560"/>
              <w:jc w:val="left"/>
            </w:pPr>
            <w:r>
              <w:rPr>
                <w:rFonts w:ascii="仿宋_GB2312" w:hAnsi="仿宋_GB2312" w:cs="仿宋_GB2312" w:eastAsia="仿宋_GB2312"/>
                <w:sz w:val="28"/>
                <w:color w:val="000000"/>
              </w:rPr>
              <w:t>二、工作目标</w:t>
            </w:r>
          </w:p>
          <w:p>
            <w:pPr>
              <w:pStyle w:val="null5"/>
              <w:ind w:firstLine="560"/>
              <w:jc w:val="left"/>
            </w:pPr>
            <w:r>
              <w:rPr>
                <w:rFonts w:ascii="仿宋_GB2312" w:hAnsi="仿宋_GB2312" w:cs="仿宋_GB2312" w:eastAsia="仿宋_GB2312"/>
                <w:sz w:val="28"/>
                <w:color w:val="000000"/>
              </w:rPr>
              <w:t>到</w:t>
            </w:r>
            <w:r>
              <w:rPr>
                <w:rFonts w:ascii="仿宋_GB2312" w:hAnsi="仿宋_GB2312" w:cs="仿宋_GB2312" w:eastAsia="仿宋_GB2312"/>
                <w:sz w:val="28"/>
                <w:color w:val="000000"/>
              </w:rPr>
              <w:t>2026年6月，通过融合自然资源调查监测、森林草原湿地荒漠化普查、确权登记、土地市场监测监管、自然资源分等定级估价等成果，查清资产实物量，核算价值量，摸清各类全民所有自然资源资产底数;结合地籍调查、确权登记等进展，逐步理清使用权状况，在自然资源底图基础上，初步形成包含实物量图层、价值量图层:产权图层等共同构成的资产“一张图”，按需协同管理各类底图底数，支撑统一履行所有者职责。结合全国国土调查工作安排，定期开展全面资产清查和年度变动更新，资产清查成果不作为部门管理边界划分依据。</w:t>
            </w:r>
          </w:p>
          <w:p>
            <w:pPr>
              <w:pStyle w:val="null5"/>
              <w:ind w:firstLine="560"/>
              <w:jc w:val="left"/>
            </w:pPr>
            <w:r>
              <w:rPr>
                <w:rFonts w:ascii="仿宋_GB2312" w:hAnsi="仿宋_GB2312" w:cs="仿宋_GB2312" w:eastAsia="仿宋_GB2312"/>
                <w:sz w:val="28"/>
                <w:color w:val="000000"/>
              </w:rPr>
              <w:t>三、工作任务</w:t>
            </w:r>
          </w:p>
          <w:p>
            <w:pPr>
              <w:pStyle w:val="null5"/>
              <w:ind w:firstLine="560"/>
              <w:jc w:val="left"/>
            </w:pPr>
            <w:r>
              <w:rPr>
                <w:rFonts w:ascii="仿宋_GB2312" w:hAnsi="仿宋_GB2312" w:cs="仿宋_GB2312" w:eastAsia="仿宋_GB2312"/>
                <w:sz w:val="28"/>
                <w:color w:val="000000"/>
              </w:rPr>
              <w:t>1.采集资产清查价格体系建设和更新所需的基础资料， 更新本行政区建设用地 等资产清查价格。</w:t>
            </w:r>
          </w:p>
          <w:p>
            <w:pPr>
              <w:pStyle w:val="null5"/>
              <w:ind w:firstLine="560"/>
              <w:jc w:val="left"/>
            </w:pPr>
            <w:r>
              <w:rPr>
                <w:rFonts w:ascii="仿宋_GB2312" w:hAnsi="仿宋_GB2312" w:cs="仿宋_GB2312" w:eastAsia="仿宋_GB2312"/>
                <w:sz w:val="28"/>
                <w:color w:val="000000"/>
              </w:rPr>
              <w:t>2.开展本行政区内全民所有土地、 森林、 草原、 湿地、 海洋资源资产以及县级管理的矿产资源资产清查，其中森林、 草原 、 湿地资源资产清查按照全国森林草原湿地荒漠化普查实物量成果核算价值量。 结合逐级下发的各类资源资产清查结果， 查清本行政区内各类全民所有自然资源资产底数，形成实物量图层和价值量图层</w:t>
            </w:r>
          </w:p>
          <w:p>
            <w:pPr>
              <w:pStyle w:val="null5"/>
              <w:ind w:firstLine="560"/>
              <w:jc w:val="left"/>
            </w:pPr>
            <w:r>
              <w:rPr>
                <w:rFonts w:ascii="仿宋_GB2312" w:hAnsi="仿宋_GB2312" w:cs="仿宋_GB2312" w:eastAsia="仿宋_GB2312"/>
                <w:sz w:val="28"/>
                <w:color w:val="000000"/>
              </w:rPr>
              <w:t>3.在地籍调查成果覆盖范围内， 结合土地市场动态监测与 监管等管理数据开展全民所有土地、 森林、 草原、 湿地、 海洋等 自然资源 资产的使用权清查以及县级管理权限的矿产资源资产的矿 业权状况清查， 结合逐级下发的各类资源资产清查结果， 重点理清国有建设用地、 矿产、 海洋等 自然资源资产的使用权状况， 根据实际情况开展其他类型国有自然资源资产的使用权清查， 形成产权图层 。</w:t>
            </w:r>
          </w:p>
          <w:p>
            <w:pPr>
              <w:pStyle w:val="null5"/>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4.开展县级管理的未确定使用权人国有建设用地实物量清查、价值量核算 ， 重点查清储备土地有关情况。 汇总省、 市级下发的未确定使用权人国有建设用地清查结果， 形成实物量图层和价值量图层。</w:t>
            </w:r>
          </w:p>
          <w:p>
            <w:pPr>
              <w:pStyle w:val="null5"/>
              <w:ind w:firstLine="560"/>
              <w:jc w:val="left"/>
            </w:pPr>
            <w:r>
              <w:rPr>
                <w:rFonts w:ascii="仿宋_GB2312" w:hAnsi="仿宋_GB2312" w:cs="仿宋_GB2312" w:eastAsia="仿宋_GB2312"/>
                <w:sz w:val="28"/>
                <w:color w:val="000000"/>
              </w:rPr>
              <w:t>5.对资产清查成果进行自检，建立资产清查成果数据库。</w:t>
            </w:r>
          </w:p>
          <w:p>
            <w:pPr>
              <w:pStyle w:val="null5"/>
              <w:ind w:firstLine="560"/>
              <w:jc w:val="left"/>
            </w:pPr>
            <w:r>
              <w:rPr>
                <w:rFonts w:ascii="仿宋_GB2312" w:hAnsi="仿宋_GB2312" w:cs="仿宋_GB2312" w:eastAsia="仿宋_GB2312"/>
                <w:sz w:val="28"/>
                <w:color w:val="000000"/>
              </w:rPr>
              <w:t>四、成果要求：</w:t>
            </w:r>
          </w:p>
          <w:p>
            <w:pPr>
              <w:pStyle w:val="null5"/>
              <w:ind w:firstLine="560"/>
              <w:jc w:val="left"/>
            </w:pPr>
            <w:r>
              <w:rPr>
                <w:rFonts w:ascii="仿宋_GB2312" w:hAnsi="仿宋_GB2312" w:cs="仿宋_GB2312" w:eastAsia="仿宋_GB2312"/>
                <w:sz w:val="28"/>
                <w:color w:val="000000"/>
              </w:rPr>
              <w:t>1.全民所有自然资源资产清查工作报告；</w:t>
            </w:r>
          </w:p>
          <w:p>
            <w:pPr>
              <w:pStyle w:val="null5"/>
              <w:ind w:firstLine="560"/>
              <w:jc w:val="left"/>
            </w:pPr>
            <w:r>
              <w:rPr>
                <w:rFonts w:ascii="仿宋_GB2312" w:hAnsi="仿宋_GB2312" w:cs="仿宋_GB2312" w:eastAsia="仿宋_GB2312"/>
                <w:sz w:val="28"/>
                <w:color w:val="000000"/>
              </w:rPr>
              <w:t>2.全民所有自然资源资产清查技术报告；</w:t>
            </w:r>
          </w:p>
          <w:p>
            <w:pPr>
              <w:pStyle w:val="null5"/>
              <w:ind w:firstLine="560"/>
              <w:jc w:val="left"/>
            </w:pPr>
            <w:r>
              <w:rPr>
                <w:rFonts w:ascii="仿宋_GB2312" w:hAnsi="仿宋_GB2312" w:cs="仿宋_GB2312" w:eastAsia="仿宋_GB2312"/>
                <w:sz w:val="28"/>
                <w:color w:val="000000"/>
              </w:rPr>
              <w:t>3.全民所有自然资源资产清查表格成果；</w:t>
            </w:r>
          </w:p>
          <w:p>
            <w:pPr>
              <w:pStyle w:val="null5"/>
              <w:ind w:firstLine="560"/>
              <w:jc w:val="left"/>
            </w:pPr>
            <w:r>
              <w:rPr>
                <w:rFonts w:ascii="仿宋_GB2312" w:hAnsi="仿宋_GB2312" w:cs="仿宋_GB2312" w:eastAsia="仿宋_GB2312"/>
                <w:sz w:val="28"/>
                <w:color w:val="000000"/>
              </w:rPr>
              <w:t>4.全民所有自然资源资产清查数据库成果；</w:t>
            </w:r>
          </w:p>
          <w:p>
            <w:pPr>
              <w:pStyle w:val="null5"/>
              <w:ind w:firstLine="560"/>
              <w:jc w:val="left"/>
            </w:pPr>
            <w:r>
              <w:rPr>
                <w:rFonts w:ascii="仿宋_GB2312" w:hAnsi="仿宋_GB2312" w:cs="仿宋_GB2312" w:eastAsia="仿宋_GB2312"/>
                <w:sz w:val="28"/>
                <w:color w:val="000000"/>
              </w:rPr>
              <w:t>5.全民所有自然资源资产清查文字及图件成果；</w:t>
            </w:r>
          </w:p>
          <w:p>
            <w:pPr>
              <w:pStyle w:val="null5"/>
              <w:ind w:firstLine="560"/>
              <w:jc w:val="left"/>
            </w:pPr>
            <w:r>
              <w:rPr>
                <w:rFonts w:ascii="仿宋_GB2312" w:hAnsi="仿宋_GB2312" w:cs="仿宋_GB2312" w:eastAsia="仿宋_GB2312"/>
                <w:sz w:val="28"/>
                <w:color w:val="000000"/>
              </w:rPr>
              <w:t>6.探索资产清查成果应用和更新机制；</w:t>
            </w:r>
          </w:p>
          <w:p>
            <w:pPr>
              <w:pStyle w:val="null5"/>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基础资料汇编成果等。</w:t>
            </w:r>
          </w:p>
          <w:p>
            <w:pPr>
              <w:pStyle w:val="null5"/>
              <w:ind w:firstLine="560"/>
              <w:jc w:val="left"/>
            </w:pPr>
            <w:r>
              <w:rPr>
                <w:rFonts w:ascii="仿宋_GB2312" w:hAnsi="仿宋_GB2312" w:cs="仿宋_GB2312" w:eastAsia="仿宋_GB2312"/>
                <w:sz w:val="28"/>
                <w:color w:val="000000"/>
              </w:rPr>
              <w:t>五、技术方法要求：</w:t>
            </w:r>
          </w:p>
          <w:p>
            <w:pPr>
              <w:pStyle w:val="null5"/>
              <w:ind w:firstLine="560"/>
              <w:jc w:val="left"/>
            </w:pPr>
            <w:r>
              <w:rPr>
                <w:rFonts w:ascii="仿宋_GB2312" w:hAnsi="仿宋_GB2312" w:cs="仿宋_GB2312" w:eastAsia="仿宋_GB2312"/>
                <w:sz w:val="28"/>
                <w:color w:val="000000"/>
              </w:rPr>
              <w:t>各类资源的资产清査范围、清査方法、价格体系建设方法应符合《全民所有自然资源资产清查技术指南》和《内蒙古自治区自然资源厅关于全面开展全民所有自然资源资产清查工作的通知》（内自然资字〔</w:t>
            </w:r>
            <w:r>
              <w:rPr>
                <w:rFonts w:ascii="仿宋_GB2312" w:hAnsi="仿宋_GB2312" w:cs="仿宋_GB2312" w:eastAsia="仿宋_GB2312"/>
                <w:sz w:val="28"/>
                <w:color w:val="000000"/>
              </w:rPr>
              <w:t>2024</w:t>
            </w:r>
            <w:r>
              <w:rPr>
                <w:rFonts w:ascii="仿宋_GB2312" w:hAnsi="仿宋_GB2312" w:cs="仿宋_GB2312" w:eastAsia="仿宋_GB2312"/>
                <w:sz w:val="28"/>
                <w:color w:val="000000"/>
              </w:rPr>
              <w:t>〕</w:t>
            </w:r>
            <w:r>
              <w:rPr>
                <w:rFonts w:ascii="仿宋_GB2312" w:hAnsi="仿宋_GB2312" w:cs="仿宋_GB2312" w:eastAsia="仿宋_GB2312"/>
                <w:sz w:val="28"/>
                <w:color w:val="000000"/>
              </w:rPr>
              <w:t>421</w:t>
            </w:r>
            <w:r>
              <w:rPr>
                <w:rFonts w:ascii="仿宋_GB2312" w:hAnsi="仿宋_GB2312" w:cs="仿宋_GB2312" w:eastAsia="仿宋_GB2312"/>
                <w:sz w:val="28"/>
                <w:color w:val="000000"/>
              </w:rPr>
              <w:t>号）中的要求。</w:t>
            </w:r>
          </w:p>
          <w:p>
            <w:pPr>
              <w:pStyle w:val="null5"/>
              <w:ind w:firstLine="560"/>
              <w:jc w:val="left"/>
            </w:pPr>
            <w:r>
              <w:rPr>
                <w:rFonts w:ascii="仿宋_GB2312" w:hAnsi="仿宋_GB2312" w:cs="仿宋_GB2312" w:eastAsia="仿宋_GB2312"/>
                <w:sz w:val="28"/>
                <w:color w:val="000000"/>
              </w:rPr>
              <w:t>其他技术要求：应符合扎鲁特旗全民所有自然资源资产清査项目需求和采购人要求。</w:t>
            </w:r>
          </w:p>
          <w:p>
            <w:pPr>
              <w:pStyle w:val="null5"/>
              <w:ind w:firstLine="560"/>
              <w:jc w:val="left"/>
            </w:pPr>
            <w:r>
              <w:rPr>
                <w:rFonts w:ascii="仿宋_GB2312" w:hAnsi="仿宋_GB2312" w:cs="仿宋_GB2312" w:eastAsia="仿宋_GB2312"/>
                <w:sz w:val="28"/>
                <w:color w:val="000000"/>
              </w:rPr>
              <w:t>六、质检汇交</w:t>
            </w:r>
          </w:p>
          <w:p>
            <w:pPr>
              <w:pStyle w:val="null5"/>
              <w:ind w:firstLine="560"/>
              <w:jc w:val="left"/>
            </w:pPr>
            <w:r>
              <w:rPr>
                <w:rFonts w:ascii="仿宋_GB2312" w:hAnsi="仿宋_GB2312" w:cs="仿宋_GB2312" w:eastAsia="仿宋_GB2312"/>
                <w:sz w:val="28"/>
                <w:color w:val="000000"/>
              </w:rPr>
              <w:t>根据自然资源资产成果数据汇交质检要求对成果数据的完整性、数据基础、属性数据标准性、空间图形拓扑、成果合理性等进行检查，生成数据质检分析报告、显示错误明细，提高数据质检分析效率，保障数据成果质量。</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”工作方案》的通知(通财购〔2023〕195号)文件规定，提供《通辽市政府采购供应商信用 承诺函》（格式详见公告附件），无需提交证明材料。采购人有权在签订合同前要求中标 (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”工作方案》的通知(通财购〔2023〕195号)文件规定，提供《通辽市政府采购供应商信用 承诺函》（格式详见公告附件），无需提交证明材料。采购人有权在签订合同前要求中标 (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”工作方案》的通知(通财购〔2023〕195号)文件规定，提供《通辽市政府采购供应商信用 承诺函》（格式详见公告附件），无需提交证明材料。采购人有权在签订合同前要求中标 (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”工作方案》的通知(通财购〔2023〕195号)文件规定，提供《通辽市政府采购供应商信用 承诺函》（格式详见公告附件），无需提交证明材料。采购人有权在签订合同前要求中标 (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”工作方案》的通知(通财购〔2023〕195号)文件规定，提供《通辽市政府采购供应商信用 承诺函》（格式详见公告附件），无需提交证明材料。采购人有权在签订合同前要求中标 (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供应商具有行业主管部门核发的土地评估和测绘（乙级或乙级以上）资质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技术实施方案</w:t>
            </w:r>
          </w:p>
        </w:tc>
        <w:tc>
          <w:tcPr>
            <w:tcW w:type="dxa" w:w="3115"/>
          </w:tcPr>
          <w:p>
            <w:pPr>
              <w:pStyle w:val="null5"/>
              <w:jc w:val="left"/>
            </w:pPr>
            <w:r>
              <w:rPr>
                <w:rFonts w:ascii="仿宋_GB2312" w:hAnsi="仿宋_GB2312" w:cs="仿宋_GB2312" w:eastAsia="仿宋_GB2312"/>
              </w:rPr>
              <w:t>根据供应商提供的技术实施方案进行评审，内容包含但不限于①项目整体理解；②工作思路；③技术路线；④组织管理措施；相关服务措施等，内容完整，逻辑清晰，符合本项目要求得10分，以上5项中每缺少一项的扣2分， 每项中内容存在瑕疵，一处瑕疵扣1分，单项得分扣完为止。 注:（1）内容存在瑕疵是指内容不满足项目要求或与项目无关的或与项目不匹配或项 目名称、实施地点、涉及的规范、技术服务标准要求与本项目不一致或逻 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项目需求政策理解</w:t>
            </w:r>
          </w:p>
        </w:tc>
        <w:tc>
          <w:tcPr>
            <w:tcW w:type="dxa" w:w="3115"/>
          </w:tcPr>
          <w:p>
            <w:pPr>
              <w:pStyle w:val="null5"/>
              <w:jc w:val="left"/>
            </w:pPr>
            <w:r>
              <w:rPr>
                <w:rFonts w:ascii="仿宋_GB2312" w:hAnsi="仿宋_GB2312" w:cs="仿宋_GB2312" w:eastAsia="仿宋_GB2312"/>
              </w:rPr>
              <w:t>根据供应商对项目需求政策理解进行评审，内容包含但不限于①对自然资源清查总体要求与理解；②项目概况分析理解等，内容完整，逻辑清晰，符合本项目要求得5分，以上2项中每缺少 一项的扣2.5分，每项中内容存在瑕疵，一处瑕疵扣1分，单项得分扣完为止。 注:（1）内容存在瑕疵是指内容不满足项目要求或与项目无关的或与 项目不匹配或项目名称、实施地点、涉及的规范、技术服务标准要求与本 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实施进度计划措施</w:t>
            </w:r>
          </w:p>
        </w:tc>
        <w:tc>
          <w:tcPr>
            <w:tcW w:type="dxa" w:w="3115"/>
          </w:tcPr>
          <w:p>
            <w:pPr>
              <w:pStyle w:val="null5"/>
              <w:jc w:val="left"/>
            </w:pPr>
            <w:r>
              <w:rPr>
                <w:rFonts w:ascii="仿宋_GB2312" w:hAnsi="仿宋_GB2312" w:cs="仿宋_GB2312" w:eastAsia="仿宋_GB2312"/>
              </w:rPr>
              <w:t>根据供应商提供的实施进度计划措施进行评分，内容应包含但不限于 ：①工作任务理解；②进度计划安排；③制定跟踪保障机制等，内容完整，逻辑清晰，符合本项目要求得9分，以上3项中每缺少一项的扣3分，每项中内容存在瑕疵，一处瑕疵扣1分，单项得分扣完为止。 注:（1）内容存在 瑕疵是指内容不满足项目要求或与项目无关的或与项目不匹配或项目名称 、实施地点、涉及的规范、技术服务标准要求与本项目不一致或逻辑不通 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总体工作思路</w:t>
            </w:r>
          </w:p>
        </w:tc>
        <w:tc>
          <w:tcPr>
            <w:tcW w:type="dxa" w:w="3115"/>
          </w:tcPr>
          <w:p>
            <w:pPr>
              <w:pStyle w:val="null5"/>
              <w:jc w:val="left"/>
            </w:pPr>
            <w:r>
              <w:rPr>
                <w:rFonts w:ascii="仿宋_GB2312" w:hAnsi="仿宋_GB2312" w:cs="仿宋_GB2312" w:eastAsia="仿宋_GB2312"/>
              </w:rPr>
              <w:t>根据供应商提供的总体工作思路进行评分，内容应包含但不限于 ：①工作思路的理解；②主要工作任务理解，③工作依据等，内容完整，逻辑清晰，符合本项目要求得9分，以上3项中每缺少一项的扣3分，每项中内容存在瑕疵，一处瑕疵扣1分，单项得分扣完为止。 注:（1）内容存在瑕疵是指内容不满足项 目要求或与项目无关的或与项目不匹配或项目名称、实施地点、涉及的规 范、技术服务标准要求与本项目不一致或逻辑不通等情形。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技术路线安排</w:t>
            </w:r>
          </w:p>
        </w:tc>
        <w:tc>
          <w:tcPr>
            <w:tcW w:type="dxa" w:w="3115"/>
          </w:tcPr>
          <w:p>
            <w:pPr>
              <w:pStyle w:val="null5"/>
              <w:jc w:val="left"/>
            </w:pPr>
            <w:r>
              <w:rPr>
                <w:rFonts w:ascii="仿宋_GB2312" w:hAnsi="仿宋_GB2312" w:cs="仿宋_GB2312" w:eastAsia="仿宋_GB2312"/>
              </w:rPr>
              <w:t>根据供应商提供的技术路线安排进行评审，内容包含但不限于：①制定工作路线图；②自然资源清查项目细化及工作安排等，内容完整，逻辑清晰， 符合本项目要求得5分，以上2项中每缺少一项的扣2.5分，每项中内容存在 瑕疵，一处瑕疵扣1分，单项得分扣完为止。 注：（1）内容存在瑕疵是指 内容不满足项目要求或与项目无关的或与项目不匹配或项目名称、实施地 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组织管理措施</w:t>
            </w:r>
          </w:p>
        </w:tc>
        <w:tc>
          <w:tcPr>
            <w:tcW w:type="dxa" w:w="3115"/>
          </w:tcPr>
          <w:p>
            <w:pPr>
              <w:pStyle w:val="null5"/>
              <w:jc w:val="left"/>
            </w:pPr>
            <w:r>
              <w:rPr>
                <w:rFonts w:ascii="仿宋_GB2312" w:hAnsi="仿宋_GB2312" w:cs="仿宋_GB2312" w:eastAsia="仿宋_GB2312"/>
              </w:rPr>
              <w:t>根据供应商提供的组织管理措施进行评审，内容包含但不限于①制定组织保障机制；②制定团队协作机制等，内容完整，逻辑清晰，符合本项目要求得5分，以上2项中每缺少一项的扣2.5分，每项中内容存在瑕 疵，一处瑕疵扣1分，单项得分扣完为止。 注:（1）内容存在瑕疵是指内 容不满足项目要求或与项目无关的或与项目不匹配或项目名称、实施地点 、涉及的规范、技术服务标准要求与本项目不一致或逻辑不通等情形。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进行评审，内容包含但不限于①制定质量管理保障机制；②制定内部管理措施，③制定成果检查机制等，内容完整，逻辑清晰，符合本项目要求得6分，以上3项中每缺少一项的扣2分，每项中内容存在瑕 疵，一处瑕疵扣1分，单项得分扣完为止。 注:（1）内容存在瑕疵是指内 容不满足项目要求或与项目无关的或与项目不匹配或项目名称、实施地点 、涉及的规范、技术服务标准要求与本项目不一致或逻辑不通等情形。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人员配置方案</w:t>
            </w:r>
          </w:p>
        </w:tc>
        <w:tc>
          <w:tcPr>
            <w:tcW w:type="dxa" w:w="3115"/>
          </w:tcPr>
          <w:p>
            <w:pPr>
              <w:pStyle w:val="null5"/>
              <w:jc w:val="left"/>
            </w:pPr>
            <w:r>
              <w:rPr>
                <w:rFonts w:ascii="仿宋_GB2312" w:hAnsi="仿宋_GB2312" w:cs="仿宋_GB2312" w:eastAsia="仿宋_GB2312"/>
              </w:rPr>
              <w:t>根据供应商提供的人员配置方案进行评审，内容包含但不限于①人员配置合理性等，内容完整，逻辑清晰，符合本项目要求得5分，以上1项中每缺少一项的扣5分，每项中内容存在瑕 疵，一处瑕疵扣1分，单项得分扣完为止。 注:（1）内容存在瑕疵是指内 容不满足项目要求或与项目无关的或与项目不匹配或项目名称、实施地点 、涉及的规范、技术服务标准要求与本项目不一致或逻辑不通等情形。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供应商提供的后续服务措施进行评审，内容包含但不限于①后续服务方案；②项目前期、中期、后期服务承诺，③售后服务承诺及体系；4.安全保密保障措施；5.后续服务保障措施等，内容完整，逻辑清晰，符合本项目要求得10分，以上5项中每缺少一项的扣2分，每项中内容存在瑕 疵，一处瑕疵扣1分，单项得分扣完为止。 注:（1）内容存在瑕疵是指内 容不满足项目要求或与项目无关的或与项目不匹配或项目名称、实施地点 、涉及的规范、技术服务标准要求与本项目不一致或逻辑不通等情形。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设备投入方案</w:t>
            </w:r>
          </w:p>
        </w:tc>
        <w:tc>
          <w:tcPr>
            <w:tcW w:type="dxa" w:w="3115"/>
          </w:tcPr>
          <w:p>
            <w:pPr>
              <w:pStyle w:val="null5"/>
              <w:jc w:val="left"/>
            </w:pPr>
            <w:r>
              <w:rPr>
                <w:rFonts w:ascii="仿宋_GB2312" w:hAnsi="仿宋_GB2312" w:cs="仿宋_GB2312" w:eastAsia="仿宋_GB2312"/>
              </w:rPr>
              <w:t>根据供应商提供的设备投入方案进行评审，内容包含但不限于①组织机构设置；②设备投入计划等，内容完整，逻辑清晰，符合本项目要求得6分，以上2项中每缺少一项的扣3分，每项中内容存在瑕 疵，一处瑕疵扣1分，单项得分扣完为止。 注:（1）内容存在瑕疵是指内 容不满足项目要求或与项目无关的或与项目不匹配或项目名称、实施地点 、涉及的规范、技术服务标准要求与本项目不一致或逻辑不通等情形。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企业类似项目业绩</w:t>
            </w:r>
          </w:p>
        </w:tc>
        <w:tc>
          <w:tcPr>
            <w:tcW w:type="dxa" w:w="3115"/>
          </w:tcPr>
          <w:p>
            <w:pPr>
              <w:pStyle w:val="null5"/>
              <w:jc w:val="left"/>
            </w:pPr>
            <w:r>
              <w:rPr>
                <w:rFonts w:ascii="仿宋_GB2312" w:hAnsi="仿宋_GB2312" w:cs="仿宋_GB2312" w:eastAsia="仿宋_GB2312"/>
              </w:rPr>
              <w:t>供应商近3年（2022年1月1日至磋商截止时间）承接实施过类似项目。每提供1项，得1分，最多得5分。 注：业绩须提供合同或中标通知书，并在响应文件中附相应的复印件加盖供应商单位公章。</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项目负责人同时具有测绘副高级职称和土地估价师的，得5分；具有测绘中级职称和土地估价师的，得2分；不同时具备的，不得分，本项最高得5分。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团队技术力量</w:t>
            </w:r>
          </w:p>
        </w:tc>
        <w:tc>
          <w:tcPr>
            <w:tcW w:type="dxa" w:w="3115"/>
          </w:tcPr>
          <w:p>
            <w:pPr>
              <w:pStyle w:val="null5"/>
              <w:jc w:val="left"/>
            </w:pPr>
            <w:r>
              <w:rPr>
                <w:rFonts w:ascii="仿宋_GB2312" w:hAnsi="仿宋_GB2312" w:cs="仿宋_GB2312" w:eastAsia="仿宋_GB2312"/>
              </w:rPr>
              <w:t>安排本项目技术组成员中具有土地利用专业或测绘专业副高级职称的，每提供一个，得1分，最高得2分；具有土地利用专业或测绘专业中级职称的，每提供一个，得1分，最高得4分；具有土地估价师证书的，每提供一个，得1分，最高得4分；本项最高得10分。 注：1.技术组成员必须为本单位注册的估价师，须提供“土地估价行业备案系统”备案公示评估师名单截图，并在响应文件中附相应的复印件加盖供应商单位公章。 2.技术组成员具有职称的，需提供职称复印件和近3个月的社保证明。</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