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内蒙古自治区通辽市中北部地区科尔沁沙地综合治理项目2024年扎鲁特旗（林业部分）乔木造林项目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扎鲁特旗林业和草原局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内蒙古璟骞工程项目管理有限公司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ZLTQZCS-G-F-250006</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内蒙古璟骞工程项目管理有限公司</w:t>
      </w:r>
      <w:r>
        <w:rPr>
          <w:rFonts w:ascii="仿宋_GB2312" w:hAnsi="仿宋_GB2312" w:cs="仿宋_GB2312" w:eastAsia="仿宋_GB2312"/>
        </w:rPr>
        <w:t xml:space="preserve"> 受 </w:t>
      </w:r>
      <w:r>
        <w:rPr>
          <w:rFonts w:ascii="仿宋_GB2312" w:hAnsi="仿宋_GB2312" w:cs="仿宋_GB2312" w:eastAsia="仿宋_GB2312"/>
        </w:rPr>
        <w:t>扎鲁特旗林业和草原局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内蒙古自治区通辽市中北部地区科尔沁沙地综合治理项目2024年扎鲁特旗（林业部分）乔木造林项目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内蒙古自治区通辽市中北部地区科尔沁沙地综合治理项目2024年扎鲁特旗（林业部分）乔木造林项目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ZLTQZCS-G-F-250006</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150526[2025]00256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3,884,337.94</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内蒙古自治区通辽市中北部地区科尔沁沙地综合治理项目2024年扎鲁特旗（林业部分）乔木造林项目(香山农场+查布嘎图苏木)</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3,884,337.94</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3,887,115.74</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内蒙古自治区通辽市中北部地区科尔沁沙地综合治理项目2024年扎鲁特旗（林业部分）乔木造林项目(香山镇+乌力吉木仁)</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3,887,115.74</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内蒙古璟骞工程项目管理有限公司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内蒙古自治区通辽市通辽经济技术开发区泽信旭园9幢9-/-602号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李慧</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15164904828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扎鲁特旗林业和草原局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扎鲁特旗鲁北镇新华路北段</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刘云鹏</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13234759904</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2</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代理服务费收费标准：中标金额的1%计算收取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优化营商环境政策，1.优化流程服务，压减办理时限。即：严格执行《通辽市政府采购“一压三降”工作方案》相关规定，推行政府采购“4个1日办”，即:采购代理机构评审结束后 1日内将评审报告送交采购人; 采购人收到评审报告后1日内确定采购结果，向中标单位发出中标或成交通知书;合同签订后1日内完成合同备案: 采购人在供应商提出验收申请 1个工作日内完成验收；合同签订时间压缩至10日／7个工作日内（以实际最优计算）；投诉处理从接到投诉后10个工作日内做出处理。切实加快采购项目执行；2.推进府购合同融资“政采贷”政策：凡在自治区政府采购“云平台"注册成为供应商的中小企业，可凭政府采购合同，通过政府采购“云平台"上的“政府采购金融服务"模块，直接向有关银行机构申请融资贷款。提供服务的银行机构不得要求中小企业提供财产质押、第三方担保或附加其它任何形式的担保条件；3.双向承诺：严格落实通财购〔2023〕195号 关于印发《通辽市政府采购“双向承诺+信用管理”工作方案》的通知；4.采购人严格按照《通辽市财政局关于进一步规范政府采购项目履约验收工作的通知》要求，及时履约验收；5.采购人在收到发票后1个工作日内将资金支付到供应商账户，特种商品或合同另有约定的除外，最长不超过5个工作日；6.投标企业可选择使用金融产品替代投标保证金或履约保证金。</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扎鲁特旗林业和草原局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内蒙古璟骞工程项目管理有限公司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内蒙古自治区通辽市中北部地区科尔沁沙地综合治理项目2024年扎鲁特旗（林业部分）乔木造林项目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合同签订之日起一年内完工</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1、按项目进度拨款。，达到付款条件起1日，支付合同总金额的100.00%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养护期：3年（含新工养护1年）</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投标有效期：从提交投标（响应）文件的截止之日起90日历天</w:t>
            </w:r>
          </w:p>
        </w:tc>
      </w:tr>
      <w:tr>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采购人有权在签订合同前要求中标供应商提供相关证明材料以核实中标供应商承诺事项的真实性。相关证明材料包括： 1.供应商有效的营业执照或事业单位法人证书或执业许可证或自然人的身份证明。 2.投标人2023或2024年度经会计师事务所出具的财务审计报告或其基本开户银行出具的近一年内的银行资信证明。 3.提供递交投标文件截止之日前一年内（至少一个月）的良好缴纳税收的相关凭据。（以税务机关提供的纳税凭据或银行入账单为准） 4.提供递交响应文件截止之日前一年内（至少一个月）缴纳社会保险的凭证。（以专用收据或社会保险缴纳清单为准） 5.到提交响应文件的截止时间，供应商未被列入失信被执行人、重大税收违法案件当事人名单、政府采购严重违法失信行为记录名单。 注：其他组织和自然人也需要提供缴纳税收的凭据金额缴纳社保的凭据。依法免税或不需要缴纳社会保障资金的供应商，应提供相应文件证明其依法免税或不需要缴纳社会保障资金。</w:t>
            </w:r>
          </w:p>
        </w:tc>
      </w:tr>
      <w:tr>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单位须承诺中标后按照内蒙古自治区林业和草原局发展改革委财政厅自然资源厅农牧能源《关于印发关于充分调动各方积极性合力打好“三北”工程攻坚战意见的实施细则》的通知(内林草办发(2024〕314号)文件要求落实以工代赈（不低于合同价款的10%）。(提供承诺书，格式自拟)。</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合同签订之日起一年内完工</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1、按项目进度拨款。，达到付款条件起1日，支付合同总金额的100.00%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养护期：3年（含新工养护1年）</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投标有效期：从提交投标（响应）文件的截止之日起90日历天</w:t>
            </w:r>
          </w:p>
        </w:tc>
      </w:tr>
      <w:tr>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采购人有权在签订合同前要求中标供应商提供相关证明材料以核实中标供应商承诺事项的真实性。相关证明材料包括： 1.供应商有效的营业执照或事业单位法人证书或执业许可证或自然人的身份证明。 2.投标人2023或2024年度经会计师事务所出具的财务审计报告或其基本开户银行出具的近一年内的银行资信证明。 3.提供递交投标文件截止之日前一年内（至少一个月）的良好缴纳税收的相关凭据。（以税务机关提供的纳税凭据或银行入账单为准） 4.提供递交响应文件截止之日前一年内（至少一个月）缴纳社会保险的凭证。（以专用收据或社会保险缴纳清单为准） 5.到提交响应文件的截止时间，供应商未被列入失信被执行人、重大税收违法案件当事人名单、政府采购严重违法失信行为记录名单。 注：其他组织和自然人也需要提供缴纳税收的凭据金额缴纳社保的凭据。依法免税或不需要缴纳社会保障资金的供应商，应提供相应文件证明其依法免税或不需要缴纳社会保障资金。</w:t>
            </w:r>
          </w:p>
        </w:tc>
      </w:tr>
      <w:tr>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单位须承诺中标后按照内蒙古自治区林业和草原局发展改革委财政厅自然资源厅农牧能源《关于印发关于充分调动各方积极性合力打好“三北”工程攻坚战意见的实施细则》的通知(内林草办发(2024〕314号)文件要求落实以工代赈（不低于合同价款的10%）。(提供承诺书，格式自拟)。</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标的名称：内蒙古自治区通辽市中北部地区科尔沁沙地综合治理项目2024年扎鲁特旗（林业部分）乔木造林项目(香山农场+查布嘎图苏木)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rPr>
              <w:t>1.具体内容详见公告附件-招标清单</w:t>
            </w:r>
          </w:p>
          <w:p>
            <w:pPr>
              <w:pStyle w:val="null5"/>
              <w:jc w:val="left"/>
            </w:pPr>
            <w:r>
              <w:rPr>
                <w:rFonts w:ascii="仿宋_GB2312" w:hAnsi="仿宋_GB2312" w:cs="仿宋_GB2312" w:eastAsia="仿宋_GB2312"/>
                <w:sz w:val="21"/>
              </w:rPr>
              <w:t>★</w:t>
            </w:r>
            <w:r>
              <w:rPr>
                <w:rFonts w:ascii="仿宋_GB2312" w:hAnsi="仿宋_GB2312" w:cs="仿宋_GB2312" w:eastAsia="仿宋_GB2312"/>
                <w:sz w:val="21"/>
              </w:rPr>
              <w:t>2.投标人应在技术偏离表后附已标价工程量清单。</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标的名称：内蒙古自治区通辽市中北部地区科尔沁沙地综合治理项目2024年扎鲁特旗（林业部分）乔木造林项目(香山镇+乌力吉木仁)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rPr>
              <w:t>1.具体内容详见公告附件-招标清单</w:t>
            </w:r>
          </w:p>
          <w:p>
            <w:pPr>
              <w:pStyle w:val="null5"/>
              <w:jc w:val="left"/>
            </w:pPr>
            <w:r>
              <w:rPr>
                <w:rFonts w:ascii="仿宋_GB2312" w:hAnsi="仿宋_GB2312" w:cs="仿宋_GB2312" w:eastAsia="仿宋_GB2312"/>
                <w:sz w:val="21"/>
              </w:rPr>
              <w:t>★</w:t>
            </w:r>
            <w:r>
              <w:rPr>
                <w:rFonts w:ascii="仿宋_GB2312" w:hAnsi="仿宋_GB2312" w:cs="仿宋_GB2312" w:eastAsia="仿宋_GB2312"/>
                <w:sz w:val="21"/>
              </w:rPr>
              <w:t>2.投标人应在技术偏离表后附已标价工程量清单。</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内容完整性和编制水平</w:t>
            </w:r>
          </w:p>
        </w:tc>
        <w:tc>
          <w:tcPr>
            <w:tcW w:type="dxa" w:w="3115"/>
          </w:tcPr>
          <w:p>
            <w:pPr>
              <w:pStyle w:val="null5"/>
              <w:jc w:val="left"/>
            </w:pPr>
            <w:r>
              <w:rPr>
                <w:rFonts w:ascii="仿宋_GB2312" w:hAnsi="仿宋_GB2312" w:cs="仿宋_GB2312" w:eastAsia="仿宋_GB2312"/>
              </w:rPr>
              <w:t>方案内容完整且编制合理的得5分，相对完整、基本合理的得4分，基本完善、内容详尽的得3分，内容描述简单、粗糙的得2分，不完善、不够详实的得1分，未提供得0分。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w:t>
            </w:r>
          </w:p>
        </w:tc>
        <w:tc>
          <w:tcPr>
            <w:tcW w:type="dxa" w:w="3115"/>
          </w:tcPr>
          <w:p>
            <w:pPr>
              <w:pStyle w:val="null5"/>
              <w:jc w:val="left"/>
            </w:pPr>
            <w:r>
              <w:rPr>
                <w:rFonts w:ascii="仿宋_GB2312" w:hAnsi="仿宋_GB2312" w:cs="仿宋_GB2312" w:eastAsia="仿宋_GB2312"/>
              </w:rPr>
              <w:t>①施工方案合理可行的得10分，可行的得8分，基本可行的得6分，可行性一般的得4分，可行性较差的得2分，未提供得0分； ②技术措施对工程质量有充分保障的得5分，对工程质量保障性一般的得3分，保障性较差的得1分，无保障或未提供得0分； ③技术措施对工程工期有充分保障的得5分，对工程工期有保障的得3分，对工程工期保障性一般的得1分，无保障或未提供得0分； ④技术措施对施工安全有充分保障的得5分，对施工安全有保障的得3分，对施工安全保障性一般的得1分，无保障或未提供得0分。</w:t>
            </w:r>
          </w:p>
        </w:tc>
        <w:tc>
          <w:tcPr>
            <w:tcW w:type="dxa" w:w="1038"/>
          </w:tcPr>
          <w:p>
            <w:pPr>
              <w:pStyle w:val="null5"/>
              <w:jc w:val="right"/>
            </w:pPr>
            <w:r>
              <w:rPr>
                <w:rFonts w:ascii="仿宋_GB2312" w:hAnsi="仿宋_GB2312" w:cs="仿宋_GB2312" w:eastAsia="仿宋_GB2312"/>
              </w:rPr>
              <w:t>25.00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质量管理体系与措施完善、合理的得10分，相对完整、基本合理的得8分，基本完善、内容详尽的得6分，内容描述简单、粗糙的得4分，不完善、不够详实的得2分，未提供得0分。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安全管理体系与措施</w:t>
            </w:r>
          </w:p>
        </w:tc>
        <w:tc>
          <w:tcPr>
            <w:tcW w:type="dxa" w:w="3115"/>
          </w:tcPr>
          <w:p>
            <w:pPr>
              <w:pStyle w:val="null5"/>
              <w:jc w:val="left"/>
            </w:pPr>
            <w:r>
              <w:rPr>
                <w:rFonts w:ascii="仿宋_GB2312" w:hAnsi="仿宋_GB2312" w:cs="仿宋_GB2312" w:eastAsia="仿宋_GB2312"/>
              </w:rPr>
              <w:t>安全管理体系与措施完善、合理的得10分，相对完整、基本合理的得8分，基本完善、内容详尽的得6分，内容描述简单、粗糙的得4分，不完善、不够详实的得2分，未提供得0分。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环境保护管理体系与措施</w:t>
            </w:r>
          </w:p>
        </w:tc>
        <w:tc>
          <w:tcPr>
            <w:tcW w:type="dxa" w:w="3115"/>
          </w:tcPr>
          <w:p>
            <w:pPr>
              <w:pStyle w:val="null5"/>
              <w:jc w:val="left"/>
            </w:pPr>
            <w:r>
              <w:rPr>
                <w:rFonts w:ascii="仿宋_GB2312" w:hAnsi="仿宋_GB2312" w:cs="仿宋_GB2312" w:eastAsia="仿宋_GB2312"/>
              </w:rPr>
              <w:t>环境保护管理体系与措施完善、合理的得5分，相对完整、基本合理的得4分，基本完善、内容详尽的得3分，内容描述简单、粗糙的得2分，不完善、不够详实的得1分，未提供得0分。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w:t>
            </w:r>
          </w:p>
        </w:tc>
        <w:tc>
          <w:tcPr>
            <w:tcW w:type="dxa" w:w="3115"/>
          </w:tcPr>
          <w:p>
            <w:pPr>
              <w:pStyle w:val="null5"/>
              <w:jc w:val="left"/>
            </w:pPr>
            <w:r>
              <w:rPr>
                <w:rFonts w:ascii="仿宋_GB2312" w:hAnsi="仿宋_GB2312" w:cs="仿宋_GB2312" w:eastAsia="仿宋_GB2312"/>
              </w:rPr>
              <w:t>工程进度计划与措施合理可行，且满足工期要求，完善、合理的得5分，相对完整、基本合理的得4分，基本完善、内容详尽的得3分，内容描述简单、粗糙的得2分，不完善、不够详实的得1分，未提供得0分。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w:t>
            </w:r>
          </w:p>
        </w:tc>
        <w:tc>
          <w:tcPr>
            <w:tcW w:type="dxa" w:w="3115"/>
          </w:tcPr>
          <w:p>
            <w:pPr>
              <w:pStyle w:val="null5"/>
              <w:jc w:val="left"/>
            </w:pPr>
            <w:r>
              <w:rPr>
                <w:rFonts w:ascii="仿宋_GB2312" w:hAnsi="仿宋_GB2312" w:cs="仿宋_GB2312" w:eastAsia="仿宋_GB2312"/>
              </w:rPr>
              <w:t>拟投入本工程的主要机械设备的数量、质量满足工程的要求，完善、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养护方案</w:t>
            </w:r>
          </w:p>
        </w:tc>
        <w:tc>
          <w:tcPr>
            <w:tcW w:type="dxa" w:w="3115"/>
          </w:tcPr>
          <w:p>
            <w:pPr>
              <w:pStyle w:val="null5"/>
              <w:jc w:val="left"/>
            </w:pPr>
            <w:r>
              <w:rPr>
                <w:rFonts w:ascii="仿宋_GB2312" w:hAnsi="仿宋_GB2312" w:cs="仿宋_GB2312" w:eastAsia="仿宋_GB2312"/>
              </w:rPr>
              <w:t>具有详细的养护人员、具有养护承诺方案、养护服务体系，内容完善、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提供2022年至今类似业绩（类似业绩指绿化、造林类业绩）。需提供中标通知书及施工合同。有一项得1分，最高得6分。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项目负责人</w:t>
            </w:r>
          </w:p>
        </w:tc>
        <w:tc>
          <w:tcPr>
            <w:tcW w:type="dxa" w:w="3115"/>
          </w:tcPr>
          <w:p>
            <w:pPr>
              <w:pStyle w:val="null5"/>
              <w:jc w:val="left"/>
            </w:pPr>
            <w:r>
              <w:rPr>
                <w:rFonts w:ascii="仿宋_GB2312" w:hAnsi="仿宋_GB2312" w:cs="仿宋_GB2312" w:eastAsia="仿宋_GB2312"/>
              </w:rPr>
              <w:t>1、项目负责人具有园林绿化相关专业高级职称得4分，中级职称得2分。（须提供人员职称证书及2025年至今任意一个月在本单位缴纳社保的证明材料扫描件，退休返聘人员提供退休证明及返聘合同扫描件） 2、技术负责人具有园林绿化相关专业高级职称得4分，中级职称得2分。（须提供人员职称证书及2025年至今任意一个月在本单位缴纳社保的证明材料扫描件，退休返聘人员提供退休证明及返聘合同扫描件） 3、提供项目负责人承担过类似工程业绩（类似业绩指绿化、造林类业绩）。需提供中标通知书及施工合同，以上资料至少有一项体现项目负责人姓名，有一项得2分，最高得6分。</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内容完整性和编制水平</w:t>
            </w:r>
          </w:p>
        </w:tc>
        <w:tc>
          <w:tcPr>
            <w:tcW w:type="dxa" w:w="3115"/>
          </w:tcPr>
          <w:p>
            <w:pPr>
              <w:pStyle w:val="null5"/>
              <w:jc w:val="left"/>
            </w:pPr>
            <w:r>
              <w:rPr>
                <w:rFonts w:ascii="仿宋_GB2312" w:hAnsi="仿宋_GB2312" w:cs="仿宋_GB2312" w:eastAsia="仿宋_GB2312"/>
              </w:rPr>
              <w:t>方案内容完整且编制合理的得5分，相对完整、基本合理的得4分，基本完善、内容详尽的得3分，内容描述简单、粗糙的得2分，不完善、不够详实的得1分，未提供得0分。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w:t>
            </w:r>
          </w:p>
        </w:tc>
        <w:tc>
          <w:tcPr>
            <w:tcW w:type="dxa" w:w="3115"/>
          </w:tcPr>
          <w:p>
            <w:pPr>
              <w:pStyle w:val="null5"/>
              <w:jc w:val="left"/>
            </w:pPr>
            <w:r>
              <w:rPr>
                <w:rFonts w:ascii="仿宋_GB2312" w:hAnsi="仿宋_GB2312" w:cs="仿宋_GB2312" w:eastAsia="仿宋_GB2312"/>
              </w:rPr>
              <w:t>①施工方案合理可行的得10分，可行的得8分，基本可行的得6分，可行性一般的得4分，可行性较差的得2分，未提供得0分； ②技术措施对工程质量有充分保障的得5分，对工程质量保障性一般的得3分，保障性较差的得1分，无保障或未提供得0分； ③技术措施对工程工期有充分保障的得5分，对工程工期有保障的得3分，对工程工期保障性一般的得1分，无保障或未提供得0分； ④技术措施对施工安全有充分保障的得5分，对施工安全有保障的得3分，对施工安全保障性一般的得1分，无保障或未提供得0分。</w:t>
            </w:r>
          </w:p>
        </w:tc>
        <w:tc>
          <w:tcPr>
            <w:tcW w:type="dxa" w:w="1038"/>
          </w:tcPr>
          <w:p>
            <w:pPr>
              <w:pStyle w:val="null5"/>
              <w:jc w:val="right"/>
            </w:pPr>
            <w:r>
              <w:rPr>
                <w:rFonts w:ascii="仿宋_GB2312" w:hAnsi="仿宋_GB2312" w:cs="仿宋_GB2312" w:eastAsia="仿宋_GB2312"/>
              </w:rPr>
              <w:t>25.00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质量管理体系与措施完善、合理的得10分，相对完整、基本合理的得8分，基本完善、内容详尽的得6分，内容描述简单、粗糙的得4分，不完善、不够详实的得2分，未提供得0分。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安全管理体系与措施</w:t>
            </w:r>
          </w:p>
        </w:tc>
        <w:tc>
          <w:tcPr>
            <w:tcW w:type="dxa" w:w="3115"/>
          </w:tcPr>
          <w:p>
            <w:pPr>
              <w:pStyle w:val="null5"/>
              <w:jc w:val="left"/>
            </w:pPr>
            <w:r>
              <w:rPr>
                <w:rFonts w:ascii="仿宋_GB2312" w:hAnsi="仿宋_GB2312" w:cs="仿宋_GB2312" w:eastAsia="仿宋_GB2312"/>
              </w:rPr>
              <w:t>安全管理体系与措施完善、合理的得10分，相对完整、基本合理的得8分，基本完善、内容详尽的得6分，内容描述简单、粗糙的得4分，不完善、不够详实的得2分，未提供得0分。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环境保护管理体系与措施</w:t>
            </w:r>
          </w:p>
        </w:tc>
        <w:tc>
          <w:tcPr>
            <w:tcW w:type="dxa" w:w="3115"/>
          </w:tcPr>
          <w:p>
            <w:pPr>
              <w:pStyle w:val="null5"/>
              <w:jc w:val="left"/>
            </w:pPr>
            <w:r>
              <w:rPr>
                <w:rFonts w:ascii="仿宋_GB2312" w:hAnsi="仿宋_GB2312" w:cs="仿宋_GB2312" w:eastAsia="仿宋_GB2312"/>
              </w:rPr>
              <w:t>环境保护管理体系与措施完善、合理的得5分，相对完整、基本合理的得4分，基本完善、内容详尽的得3分，内容描述简单、粗糙的得2分，不完善、不够详实的得1分，未提供得0分。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w:t>
            </w:r>
          </w:p>
        </w:tc>
        <w:tc>
          <w:tcPr>
            <w:tcW w:type="dxa" w:w="3115"/>
          </w:tcPr>
          <w:p>
            <w:pPr>
              <w:pStyle w:val="null5"/>
              <w:jc w:val="left"/>
            </w:pPr>
            <w:r>
              <w:rPr>
                <w:rFonts w:ascii="仿宋_GB2312" w:hAnsi="仿宋_GB2312" w:cs="仿宋_GB2312" w:eastAsia="仿宋_GB2312"/>
              </w:rPr>
              <w:t>工程进度计划与措施合理可行，且满足工期要求，完善、合理的得5分，相对完整、基本合理的得4分，基本完善、内容详尽的得3分，内容描述简单、粗糙的得2分，不完善、不够详实的得1分，未提供得0分。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w:t>
            </w:r>
          </w:p>
        </w:tc>
        <w:tc>
          <w:tcPr>
            <w:tcW w:type="dxa" w:w="3115"/>
          </w:tcPr>
          <w:p>
            <w:pPr>
              <w:pStyle w:val="null5"/>
              <w:jc w:val="left"/>
            </w:pPr>
            <w:r>
              <w:rPr>
                <w:rFonts w:ascii="仿宋_GB2312" w:hAnsi="仿宋_GB2312" w:cs="仿宋_GB2312" w:eastAsia="仿宋_GB2312"/>
              </w:rPr>
              <w:t>拟投入本工程的主要机械设备的数量、质量满足工程的要求，完善、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养护方案</w:t>
            </w:r>
          </w:p>
        </w:tc>
        <w:tc>
          <w:tcPr>
            <w:tcW w:type="dxa" w:w="3115"/>
          </w:tcPr>
          <w:p>
            <w:pPr>
              <w:pStyle w:val="null5"/>
              <w:jc w:val="left"/>
            </w:pPr>
            <w:r>
              <w:rPr>
                <w:rFonts w:ascii="仿宋_GB2312" w:hAnsi="仿宋_GB2312" w:cs="仿宋_GB2312" w:eastAsia="仿宋_GB2312"/>
              </w:rPr>
              <w:t>具有详细的养护人员、具有养护承诺方案、养护服务体系，内容完善、合理的得5分，相对完整、基本合理的得4分，基本完善、内容详尽的得3分，内容描述简单、粗糙的得2分，不完善、不够详实的得1分，未提供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提供2022年至今类似业绩（类似业绩指绿化、造林类业绩）。需提供中标通知书及施工合同。有一项得1分，最高得6分。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项目负责人</w:t>
            </w:r>
          </w:p>
        </w:tc>
        <w:tc>
          <w:tcPr>
            <w:tcW w:type="dxa" w:w="3115"/>
          </w:tcPr>
          <w:p>
            <w:pPr>
              <w:pStyle w:val="null5"/>
              <w:jc w:val="left"/>
            </w:pPr>
            <w:r>
              <w:rPr>
                <w:rFonts w:ascii="仿宋_GB2312" w:hAnsi="仿宋_GB2312" w:cs="仿宋_GB2312" w:eastAsia="仿宋_GB2312"/>
              </w:rPr>
              <w:t>1、项目负责人具有园林绿化相关专业高级职称得4分，中级职称得2分。（须提供人员职称证书及2025年至今任意一个月在本单位缴纳社保的证明材料扫描件，退休返聘人员提供退休证明及返聘合同扫描件） 2、技术负责人具有园林绿化相关专业高级职称得4分，中级职称得2分。（须提供人员职称证书及2025年至今任意一个月在本单位缴纳社保的证明材料扫描件，退休返聘人员提供退休证明及返聘合同扫描件） 3、提供项目负责人承担过类似工程业绩（类似业绩指绿化、造林类业绩）。需提供中标通知书及施工合同，以上资料至少有一项体现项目负责人姓名，有一项得2分，最高得6分。</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