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查格达村饲草基地建设项目（二期）</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霍林郭勒市达来胡硕苏木</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中科标禾工程项目管理有限公司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HLGLZCS-G-H-250004</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中科标禾工程项目管理有限公司</w:t>
      </w:r>
      <w:r>
        <w:rPr>
          <w:rFonts w:ascii="仿宋_GB2312" w:hAnsi="仿宋_GB2312" w:cs="仿宋_GB2312" w:eastAsia="仿宋_GB2312"/>
        </w:rPr>
        <w:t xml:space="preserve"> 受 </w:t>
      </w:r>
      <w:r>
        <w:rPr>
          <w:rFonts w:ascii="仿宋_GB2312" w:hAnsi="仿宋_GB2312" w:cs="仿宋_GB2312" w:eastAsia="仿宋_GB2312"/>
        </w:rPr>
        <w:t>霍林郭勒市达来胡硕苏木</w:t>
      </w:r>
      <w:r>
        <w:rPr>
          <w:rFonts w:ascii="仿宋_GB2312" w:hAnsi="仿宋_GB2312" w:cs="仿宋_GB2312" w:eastAsia="仿宋_GB2312"/>
        </w:rPr>
        <w:t xml:space="preserve"> 委托，采用公开招标方式组织采购 </w:t>
      </w:r>
      <w:r>
        <w:rPr>
          <w:rFonts w:ascii="仿宋_GB2312" w:hAnsi="仿宋_GB2312" w:cs="仿宋_GB2312" w:eastAsia="仿宋_GB2312"/>
        </w:rPr>
        <w:t>查格达村饲草基地建设项目（二期）</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查格达村饲草基地建设项目（二期）</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HLGLZCS-G-H-250004</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150581[2025]00488</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1,100,000.00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查格达村饲草基地建设项目（二期）</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1,100,000.00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1、无：无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中科标禾工程项目管理有限公司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霍林郭勒市康佳小区南门对面</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029200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16503582157</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霍林郭勒市达来胡硕苏木</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霍林郭勒市托修</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029200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15110071002</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代理服务费用收取对象：采购人</w:t>
            </w:r>
          </w:p>
          <w:p>
            <w:pPr>
              <w:pStyle w:val="null5"/>
              <w:jc w:val="left"/>
            </w:pPr>
            <w:r>
              <w:rPr>
                <w:rFonts w:ascii="仿宋_GB2312" w:hAnsi="仿宋_GB2312" w:cs="仿宋_GB2312" w:eastAsia="仿宋_GB2312"/>
              </w:rPr>
              <w:t>代理服务费收费标准：招标代理服务费参照原《内蒙古自治区建设工程招标代理服务收费指导意见》（内工建协〔2022〕34号）文件标准收费执行，由采购人支付。</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霍林郭勒市达来胡硕苏木</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中科标禾工程项目管理有限公司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无</w:t>
            </w:r>
          </w:p>
        </w:tc>
        <w:tc>
          <w:tcPr>
            <w:tcW w:type="dxa" w:w="498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查格达村饲草基地建设项目（二期）</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自合同签订后之日起60日内完成供货、安装调试。</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1、供货、安装、调试完成后，达到付款条件起7日，支付合同总金额的100.00%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标的名称：查格达村饲草基地建设项目（二期）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8"/>
                <w:b/>
              </w:rPr>
              <w:t>一、</w:t>
            </w:r>
            <w:r>
              <w:rPr>
                <w:rFonts w:ascii="仿宋_GB2312" w:hAnsi="仿宋_GB2312" w:cs="仿宋_GB2312" w:eastAsia="仿宋_GB2312"/>
                <w:sz w:val="28"/>
                <w:b/>
              </w:rPr>
              <w:t>50装载机</w:t>
            </w:r>
            <w:r>
              <w:rPr>
                <w:rFonts w:ascii="仿宋_GB2312" w:hAnsi="仿宋_GB2312" w:cs="仿宋_GB2312" w:eastAsia="仿宋_GB2312"/>
                <w:sz w:val="28"/>
                <w:b/>
              </w:rPr>
              <w:t>（数量：</w:t>
            </w:r>
            <w:r>
              <w:rPr>
                <w:rFonts w:ascii="仿宋_GB2312" w:hAnsi="仿宋_GB2312" w:cs="仿宋_GB2312" w:eastAsia="仿宋_GB2312"/>
                <w:sz w:val="28"/>
                <w:b/>
              </w:rPr>
              <w:t>1台）</w:t>
            </w:r>
          </w:p>
          <w:tbl>
            <w:tblPr>
              <w:tblInd w:type="dxa" w:w="90"/>
              <w:tblBorders>
                <w:top w:val="none" w:color="000000" w:sz="4"/>
                <w:left w:val="none" w:color="000000" w:sz="4"/>
                <w:bottom w:val="none" w:color="000000" w:sz="4"/>
                <w:right w:val="none" w:color="000000" w:sz="4"/>
                <w:insideH w:val="none"/>
                <w:insideV w:val="none"/>
              </w:tblBorders>
            </w:tblPr>
            <w:tblGrid>
              <w:gridCol w:w="739"/>
              <w:gridCol w:w="612"/>
              <w:gridCol w:w="612"/>
              <w:gridCol w:w="580"/>
            </w:tblGrid>
            <w:tr>
              <w:tc>
                <w:tcPr>
                  <w:tcW w:type="dxa" w:w="254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52"/>
                      <w:color w:val="000000"/>
                    </w:rPr>
                    <w:t>50装载机</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额定载重量</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≥5000kg</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4"/>
                      <w:color w:val="000000"/>
                    </w:rPr>
                    <w:t>档位数</w:t>
                  </w:r>
                </w:p>
              </w:tc>
              <w:tc>
                <w:tcPr>
                  <w:tcW w:type="dxa" w:w="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前进档</w:t>
                  </w:r>
                  <w:r>
                    <w:rPr>
                      <w:rFonts w:ascii="仿宋_GB2312" w:hAnsi="仿宋_GB2312" w:cs="仿宋_GB2312" w:eastAsia="仿宋_GB2312"/>
                      <w:sz w:val="24"/>
                      <w:color w:val="000000"/>
                    </w:rPr>
                    <w:t>2个，倒退档1个</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整机重量</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≥16700kg</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最高车速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38km/h</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额定斗容量</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3m</w:t>
                  </w:r>
                  <w:r>
                    <w:rPr>
                      <w:rFonts w:ascii="仿宋_GB2312" w:hAnsi="仿宋_GB2312" w:cs="仿宋_GB2312" w:eastAsia="仿宋_GB2312"/>
                      <w:sz w:val="24"/>
                      <w:color w:val="000000"/>
                      <w:vertAlign w:val="superscript"/>
                    </w:rPr>
                    <w:t>3</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4"/>
                      <w:color w:val="000000"/>
                    </w:rPr>
                    <w:t>主减型式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螺旋伞齿轮一级减速</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最大牵引力</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172KN</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4"/>
                      <w:color w:val="000000"/>
                    </w:rPr>
                    <w:t>轮边减速型式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一级行星减速</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最大崛起力</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≥162KN</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轴距</w:t>
                  </w:r>
                  <w:r>
                    <w:rPr>
                      <w:rFonts w:ascii="仿宋_GB2312" w:hAnsi="仿宋_GB2312" w:cs="仿宋_GB2312" w:eastAsia="仿宋_GB2312"/>
                      <w:sz w:val="24"/>
                      <w:color w:val="000000"/>
                    </w:rPr>
                    <w:t xml:space="preserve">  </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2920mm±10mm</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最大爬坡能力</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30℃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轮距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2200mm±10mm</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后配重宽度</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2280mm±10mm</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左右轮间距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2900mm±10mm</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最大卸载高度</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3400mm</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大臂（举升）顶端离地间隙</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4470mm±10mm</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最大卸载距离</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1260mm</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最小离地间隙</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450mm</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整机外形尺寸</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≥7800×3024×3400mm</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系统工作压力</w:t>
                  </w:r>
                  <w:r>
                    <w:rPr>
                      <w:rFonts w:ascii="仿宋_GB2312" w:hAnsi="仿宋_GB2312" w:cs="仿宋_GB2312" w:eastAsia="仿宋_GB2312"/>
                      <w:sz w:val="24"/>
                      <w:color w:val="000000"/>
                    </w:rPr>
                    <w:t>s</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18MPa</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最小转弯半径</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6000mm</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动臂提升时间</w:t>
                  </w:r>
                  <w:r>
                    <w:rPr>
                      <w:rFonts w:ascii="仿宋_GB2312" w:hAnsi="仿宋_GB2312" w:cs="仿宋_GB2312" w:eastAsia="仿宋_GB2312"/>
                      <w:sz w:val="21"/>
                    </w:rPr>
                    <w:t xml:space="preserve"> </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5.95±0.2s</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4"/>
                      <w:color w:val="000000"/>
                    </w:rPr>
                    <w:t>型号</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潍坊柴油机</w:t>
                  </w:r>
                  <w:r>
                    <w:rPr>
                      <w:rFonts w:ascii="仿宋_GB2312" w:hAnsi="仿宋_GB2312" w:cs="仿宋_GB2312" w:eastAsia="仿宋_GB2312"/>
                      <w:sz w:val="24"/>
                      <w:color w:val="000000"/>
                    </w:rPr>
                    <w:t>6105</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三项和</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10.95±0.5s</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4"/>
                      <w:color w:val="000000"/>
                    </w:rPr>
                    <w:t>型式</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4"/>
                      <w:color w:val="000000"/>
                    </w:rPr>
                    <w:t>直列</w:t>
                  </w:r>
                  <w:r>
                    <w:rPr>
                      <w:rFonts w:ascii="仿宋_GB2312" w:hAnsi="仿宋_GB2312" w:cs="仿宋_GB2312" w:eastAsia="仿宋_GB2312"/>
                      <w:sz w:val="24"/>
                      <w:color w:val="000000"/>
                    </w:rPr>
                    <w:t>\水冷\干缸套\直喷</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油箱容量</w:t>
                  </w:r>
                  <w:r>
                    <w:rPr>
                      <w:rFonts w:ascii="仿宋_GB2312" w:hAnsi="仿宋_GB2312" w:cs="仿宋_GB2312" w:eastAsia="仿宋_GB2312"/>
                      <w:sz w:val="24"/>
                      <w:color w:val="000000"/>
                    </w:rPr>
                    <w:t xml:space="preserve">  </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300L</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气缸数</w:t>
                  </w:r>
                  <w:r>
                    <w:rPr>
                      <w:rFonts w:ascii="仿宋_GB2312" w:hAnsi="仿宋_GB2312" w:cs="仿宋_GB2312" w:eastAsia="仿宋_GB2312"/>
                      <w:sz w:val="24"/>
                      <w:color w:val="000000"/>
                    </w:rPr>
                    <w:t>-缸径×行程</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6－126×130mm</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铲斗自动放平功能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4"/>
                      <w:color w:val="000000"/>
                    </w:rPr>
                    <w:t>有</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额定功率</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162kw--2400r/min</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4"/>
                      <w:color w:val="000000"/>
                    </w:rPr>
                    <w:t>行车制动</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气顶油钳盘式四轮制动</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最大扭矩</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920N.m</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驻车制动</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手动钳盘式制动</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最低燃油消耗</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≤215g/kw.h</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轮胎规格</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23.5-25</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变矩器型式</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单级四元件双涡轮液力变矩器</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前轮气压</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0.4Mpa</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变速箱型式</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行星式动力变速箱</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后轮气压</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0.35Mpa</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转弯度数</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2"/>
                      <w:color w:val="000000"/>
                    </w:rPr>
                    <w:t>28</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5"/>
              <w:jc w:val="both"/>
            </w:pPr>
            <w:r>
              <w:rPr>
                <w:rFonts w:ascii="仿宋_GB2312" w:hAnsi="仿宋_GB2312" w:cs="仿宋_GB2312" w:eastAsia="仿宋_GB2312"/>
                <w:sz w:val="28"/>
                <w:b/>
              </w:rPr>
              <w:t>二、拖拉机</w:t>
            </w:r>
            <w:r>
              <w:rPr>
                <w:rFonts w:ascii="仿宋_GB2312" w:hAnsi="仿宋_GB2312" w:cs="仿宋_GB2312" w:eastAsia="仿宋_GB2312"/>
                <w:sz w:val="28"/>
                <w:b/>
              </w:rPr>
              <w:t>（数量：</w:t>
            </w:r>
            <w:r>
              <w:rPr>
                <w:rFonts w:ascii="仿宋_GB2312" w:hAnsi="仿宋_GB2312" w:cs="仿宋_GB2312" w:eastAsia="仿宋_GB2312"/>
                <w:sz w:val="28"/>
                <w:b/>
              </w:rPr>
              <w:t>1台）</w:t>
            </w:r>
          </w:p>
          <w:tbl>
            <w:tblPr>
              <w:tblBorders>
                <w:top w:val="none" w:color="000000" w:sz="4"/>
                <w:left w:val="none" w:color="000000" w:sz="4"/>
                <w:bottom w:val="none" w:color="000000" w:sz="4"/>
                <w:right w:val="none" w:color="000000" w:sz="4"/>
                <w:insideH w:val="none"/>
                <w:insideV w:val="none"/>
              </w:tblBorders>
            </w:tblPr>
            <w:tblGrid>
              <w:gridCol w:w="541"/>
              <w:gridCol w:w="527"/>
              <w:gridCol w:w="771"/>
              <w:gridCol w:w="702"/>
            </w:tblGrid>
            <w:tr>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整机型式</w:t>
                  </w:r>
                </w:p>
              </w:tc>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轮式</w:t>
                  </w:r>
                </w:p>
              </w:tc>
              <w:tc>
                <w:tcPr>
                  <w:tcW w:type="dxa" w:w="7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整机驱动形式</w:t>
                  </w:r>
                </w:p>
              </w:tc>
              <w:tc>
                <w:tcPr>
                  <w:tcW w:type="dxa" w:w="7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四驱</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最小功率（马力）</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220</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排放标准</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国</w:t>
                  </w:r>
                  <w:r>
                    <w:rPr>
                      <w:rFonts w:ascii="仿宋_GB2312" w:hAnsi="仿宋_GB2312" w:cs="仿宋_GB2312" w:eastAsia="仿宋_GB2312"/>
                      <w:sz w:val="24"/>
                    </w:rPr>
                    <w:t>4</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档位数（前进</w:t>
                  </w:r>
                  <w:r>
                    <w:rPr>
                      <w:rFonts w:ascii="仿宋_GB2312" w:hAnsi="仿宋_GB2312" w:cs="仿宋_GB2312" w:eastAsia="仿宋_GB2312"/>
                      <w:sz w:val="24"/>
                    </w:rPr>
                    <w:t>/</w:t>
                  </w:r>
                  <w:r>
                    <w:rPr>
                      <w:rFonts w:ascii="仿宋_GB2312" w:hAnsi="仿宋_GB2312" w:cs="仿宋_GB2312" w:eastAsia="仿宋_GB2312"/>
                      <w:sz w:val="24"/>
                    </w:rPr>
                    <w:t>倒退</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16/16</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轮距（前轮</w:t>
                  </w:r>
                  <w:r>
                    <w:rPr>
                      <w:rFonts w:ascii="仿宋_GB2312" w:hAnsi="仿宋_GB2312" w:cs="仿宋_GB2312" w:eastAsia="仿宋_GB2312"/>
                      <w:sz w:val="24"/>
                    </w:rPr>
                    <w:t>/</w:t>
                  </w:r>
                  <w:r>
                    <w:rPr>
                      <w:rFonts w:ascii="仿宋_GB2312" w:hAnsi="仿宋_GB2312" w:cs="仿宋_GB2312" w:eastAsia="仿宋_GB2312"/>
                      <w:sz w:val="24"/>
                    </w:rPr>
                    <w:t>后轮）</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w:t>
                  </w:r>
                  <w:r>
                    <w:rPr>
                      <w:rFonts w:ascii="仿宋_GB2312" w:hAnsi="仿宋_GB2312" w:cs="仿宋_GB2312" w:eastAsia="仿宋_GB2312"/>
                      <w:sz w:val="24"/>
                    </w:rPr>
                    <w:t>1860mm/1780mm</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动力输出轴转速（</w:t>
                  </w:r>
                  <w:r>
                    <w:rPr>
                      <w:rFonts w:ascii="仿宋_GB2312" w:hAnsi="仿宋_GB2312" w:cs="仿宋_GB2312" w:eastAsia="仿宋_GB2312"/>
                      <w:sz w:val="24"/>
                    </w:rPr>
                    <w:t>r/min</w:t>
                  </w:r>
                  <w:r>
                    <w:rPr>
                      <w:rFonts w:ascii="仿宋_GB2312" w:hAnsi="仿宋_GB2312" w:cs="仿宋_GB2312" w:eastAsia="仿宋_GB2312"/>
                      <w:sz w:val="24"/>
                    </w:rPr>
                    <w:t>）</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w:t>
                  </w:r>
                  <w:r>
                    <w:rPr>
                      <w:rFonts w:ascii="仿宋_GB2312" w:hAnsi="仿宋_GB2312" w:cs="仿宋_GB2312" w:eastAsia="仿宋_GB2312"/>
                      <w:sz w:val="24"/>
                    </w:rPr>
                    <w:t>540/1000</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5"/>
              <w:jc w:val="both"/>
            </w:pPr>
            <w:r>
              <w:rPr>
                <w:rFonts w:ascii="仿宋_GB2312" w:hAnsi="仿宋_GB2312" w:cs="仿宋_GB2312" w:eastAsia="仿宋_GB2312"/>
                <w:sz w:val="28"/>
                <w:b/>
              </w:rPr>
              <w:t>三、播种一体机</w:t>
            </w:r>
            <w:r>
              <w:rPr>
                <w:rFonts w:ascii="仿宋_GB2312" w:hAnsi="仿宋_GB2312" w:cs="仿宋_GB2312" w:eastAsia="仿宋_GB2312"/>
                <w:sz w:val="28"/>
                <w:b/>
              </w:rPr>
              <w:t>（数量：</w:t>
            </w:r>
            <w:r>
              <w:rPr>
                <w:rFonts w:ascii="仿宋_GB2312" w:hAnsi="仿宋_GB2312" w:cs="仿宋_GB2312" w:eastAsia="仿宋_GB2312"/>
                <w:sz w:val="28"/>
                <w:b/>
              </w:rPr>
              <w:t>1台）</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米复式条播机，涵盖</w:t>
            </w:r>
            <w:r>
              <w:rPr>
                <w:rFonts w:ascii="仿宋_GB2312" w:hAnsi="仿宋_GB2312" w:cs="仿宋_GB2312" w:eastAsia="仿宋_GB2312"/>
                <w:sz w:val="24"/>
              </w:rPr>
              <w:t>24</w:t>
            </w:r>
            <w:r>
              <w:rPr>
                <w:rFonts w:ascii="仿宋_GB2312" w:hAnsi="仿宋_GB2312" w:cs="仿宋_GB2312" w:eastAsia="仿宋_GB2312"/>
                <w:sz w:val="24"/>
              </w:rPr>
              <w:t>行、</w:t>
            </w:r>
            <w:r>
              <w:rPr>
                <w:rFonts w:ascii="仿宋_GB2312" w:hAnsi="仿宋_GB2312" w:cs="仿宋_GB2312" w:eastAsia="仿宋_GB2312"/>
                <w:sz w:val="24"/>
              </w:rPr>
              <w:t>20</w:t>
            </w:r>
            <w:r>
              <w:rPr>
                <w:rFonts w:ascii="仿宋_GB2312" w:hAnsi="仿宋_GB2312" w:cs="仿宋_GB2312" w:eastAsia="仿宋_GB2312"/>
                <w:sz w:val="24"/>
              </w:rPr>
              <w:t>行两个产品资源</w:t>
            </w:r>
            <w:r>
              <w:rPr>
                <w:rFonts w:ascii="仿宋_GB2312" w:hAnsi="仿宋_GB2312" w:cs="仿宋_GB2312" w:eastAsia="仿宋_GB2312"/>
                <w:sz w:val="24"/>
              </w:rPr>
              <w:t>；</w:t>
            </w:r>
          </w:p>
          <w:p>
            <w:pPr>
              <w:pStyle w:val="null5"/>
              <w:numPr>
                <w:ilvl w:val="0"/>
                <w:numId w:val="1"/>
              </w:numPr>
              <w:jc w:val="both"/>
            </w:pPr>
            <w:r>
              <w:rPr>
                <w:rFonts w:ascii="仿宋_GB2312" w:hAnsi="仿宋_GB2312" w:cs="仿宋_GB2312" w:eastAsia="仿宋_GB2312"/>
                <w:sz w:val="24"/>
              </w:rPr>
              <w:t>动力耙</w:t>
            </w:r>
            <w:r>
              <w:rPr>
                <w:rFonts w:ascii="仿宋_GB2312" w:hAnsi="仿宋_GB2312" w:cs="仿宋_GB2312" w:eastAsia="仿宋_GB2312"/>
                <w:sz w:val="24"/>
              </w:rPr>
              <w:t>+</w:t>
            </w:r>
            <w:r>
              <w:rPr>
                <w:rFonts w:ascii="仿宋_GB2312" w:hAnsi="仿宋_GB2312" w:cs="仿宋_GB2312" w:eastAsia="仿宋_GB2312"/>
                <w:sz w:val="24"/>
              </w:rPr>
              <w:t>条播机复式作业</w:t>
            </w:r>
            <w:r>
              <w:rPr>
                <w:rFonts w:ascii="仿宋_GB2312" w:hAnsi="仿宋_GB2312" w:cs="仿宋_GB2312" w:eastAsia="仿宋_GB2312"/>
                <w:sz w:val="24"/>
              </w:rPr>
              <w:t>，</w:t>
            </w:r>
            <w:r>
              <w:rPr>
                <w:rFonts w:ascii="仿宋_GB2312" w:hAnsi="仿宋_GB2312" w:cs="仿宋_GB2312" w:eastAsia="仿宋_GB2312"/>
                <w:sz w:val="24"/>
              </w:rPr>
              <w:t>可犁翻后直接下地作业</w:t>
            </w:r>
            <w:r>
              <w:rPr>
                <w:rFonts w:ascii="仿宋_GB2312" w:hAnsi="仿宋_GB2312" w:cs="仿宋_GB2312" w:eastAsia="仿宋_GB2312"/>
                <w:sz w:val="24"/>
              </w:rPr>
              <w:t>，</w:t>
            </w:r>
            <w:r>
              <w:rPr>
                <w:rFonts w:ascii="仿宋_GB2312" w:hAnsi="仿宋_GB2312" w:cs="仿宋_GB2312" w:eastAsia="仿宋_GB2312"/>
                <w:sz w:val="24"/>
              </w:rPr>
              <w:t>作业速度</w:t>
            </w:r>
            <w:r>
              <w:rPr>
                <w:rFonts w:ascii="仿宋_GB2312" w:hAnsi="仿宋_GB2312" w:cs="仿宋_GB2312" w:eastAsia="仿宋_GB2312"/>
                <w:sz w:val="24"/>
              </w:rPr>
              <w:t>8-10km/h</w:t>
            </w:r>
            <w:r>
              <w:rPr>
                <w:rFonts w:ascii="仿宋_GB2312" w:hAnsi="仿宋_GB2312" w:cs="仿宋_GB2312" w:eastAsia="仿宋_GB2312"/>
                <w:sz w:val="24"/>
              </w:rPr>
              <w:t>，每天可作业</w:t>
            </w:r>
            <w:r>
              <w:rPr>
                <w:rFonts w:ascii="仿宋_GB2312" w:hAnsi="仿宋_GB2312" w:cs="仿宋_GB2312" w:eastAsia="仿宋_GB2312"/>
                <w:sz w:val="24"/>
              </w:rPr>
              <w:t>150-300</w:t>
            </w:r>
            <w:r>
              <w:rPr>
                <w:rFonts w:ascii="仿宋_GB2312" w:hAnsi="仿宋_GB2312" w:cs="仿宋_GB2312" w:eastAsia="仿宋_GB2312"/>
                <w:sz w:val="24"/>
              </w:rPr>
              <w:t>亩，可实现小麦、大麦、燕麦、苜蓿等大小粒径的作物种植。</w:t>
            </w:r>
          </w:p>
          <w:p>
            <w:pPr>
              <w:pStyle w:val="null5"/>
              <w:numPr>
                <w:ilvl w:val="0"/>
                <w:numId w:val="1"/>
              </w:numPr>
              <w:jc w:val="both"/>
            </w:pPr>
            <w:r>
              <w:rPr>
                <w:rFonts w:ascii="仿宋_GB2312" w:hAnsi="仿宋_GB2312" w:cs="仿宋_GB2312" w:eastAsia="仿宋_GB2312"/>
                <w:sz w:val="24"/>
              </w:rPr>
              <w:t>配套马力</w:t>
            </w:r>
            <w:r>
              <w:rPr>
                <w:rFonts w:ascii="仿宋_GB2312" w:hAnsi="仿宋_GB2312" w:cs="仿宋_GB2312" w:eastAsia="仿宋_GB2312"/>
                <w:sz w:val="24"/>
              </w:rPr>
              <w:t>：</w:t>
            </w:r>
            <w:r>
              <w:rPr>
                <w:rFonts w:ascii="仿宋_GB2312" w:hAnsi="仿宋_GB2312" w:cs="仿宋_GB2312" w:eastAsia="仿宋_GB2312"/>
                <w:sz w:val="24"/>
              </w:rPr>
              <w:t>200</w:t>
            </w:r>
            <w:r>
              <w:rPr>
                <w:rFonts w:ascii="仿宋_GB2312" w:hAnsi="仿宋_GB2312" w:cs="仿宋_GB2312" w:eastAsia="仿宋_GB2312"/>
                <w:sz w:val="24"/>
              </w:rPr>
              <w:t>马力以上</w:t>
            </w:r>
          </w:p>
          <w:p>
            <w:pPr>
              <w:pStyle w:val="null5"/>
              <w:numPr>
                <w:ilvl w:val="0"/>
                <w:numId w:val="1"/>
              </w:numPr>
              <w:jc w:val="both"/>
            </w:pPr>
            <w:r>
              <w:rPr>
                <w:rFonts w:ascii="仿宋_GB2312" w:hAnsi="仿宋_GB2312" w:cs="仿宋_GB2312" w:eastAsia="仿宋_GB2312"/>
                <w:sz w:val="24"/>
              </w:rPr>
              <w:t>工作幅宽</w:t>
            </w:r>
            <w:r>
              <w:rPr>
                <w:rFonts w:ascii="仿宋_GB2312" w:hAnsi="仿宋_GB2312" w:cs="仿宋_GB2312" w:eastAsia="仿宋_GB2312"/>
                <w:sz w:val="24"/>
              </w:rPr>
              <w:t>：大于等于</w:t>
            </w:r>
            <w:r>
              <w:rPr>
                <w:rFonts w:ascii="仿宋_GB2312" w:hAnsi="仿宋_GB2312" w:cs="仿宋_GB2312" w:eastAsia="仿宋_GB2312"/>
                <w:sz w:val="24"/>
              </w:rPr>
              <w:t>30cm</w:t>
            </w:r>
          </w:p>
          <w:p>
            <w:pPr>
              <w:pStyle w:val="null5"/>
              <w:numPr>
                <w:ilvl w:val="0"/>
                <w:numId w:val="1"/>
              </w:numPr>
              <w:jc w:val="both"/>
            </w:pPr>
            <w:r>
              <w:rPr>
                <w:rFonts w:ascii="仿宋_GB2312" w:hAnsi="仿宋_GB2312" w:cs="仿宋_GB2312" w:eastAsia="仿宋_GB2312"/>
                <w:sz w:val="24"/>
              </w:rPr>
              <w:t>拖拉机配套型式</w:t>
            </w:r>
            <w:r>
              <w:rPr>
                <w:rFonts w:ascii="仿宋_GB2312" w:hAnsi="仿宋_GB2312" w:cs="仿宋_GB2312" w:eastAsia="仿宋_GB2312"/>
                <w:sz w:val="24"/>
              </w:rPr>
              <w:t>：</w:t>
            </w:r>
            <w:r>
              <w:rPr>
                <w:rFonts w:ascii="仿宋_GB2312" w:hAnsi="仿宋_GB2312" w:cs="仿宋_GB2312" w:eastAsia="仿宋_GB2312"/>
                <w:sz w:val="24"/>
              </w:rPr>
              <w:t>悬挂式</w:t>
            </w:r>
          </w:p>
          <w:p>
            <w:pPr>
              <w:pStyle w:val="null5"/>
              <w:numPr>
                <w:ilvl w:val="0"/>
                <w:numId w:val="1"/>
              </w:numPr>
              <w:jc w:val="both"/>
            </w:pPr>
            <w:r>
              <w:rPr>
                <w:rFonts w:ascii="仿宋_GB2312" w:hAnsi="仿宋_GB2312" w:cs="仿宋_GB2312" w:eastAsia="仿宋_GB2312"/>
                <w:sz w:val="24"/>
              </w:rPr>
              <w:t>排种器型式</w:t>
            </w:r>
            <w:r>
              <w:rPr>
                <w:rFonts w:ascii="仿宋_GB2312" w:hAnsi="仿宋_GB2312" w:cs="仿宋_GB2312" w:eastAsia="仿宋_GB2312"/>
                <w:sz w:val="24"/>
              </w:rPr>
              <w:t>：</w:t>
            </w:r>
            <w:r>
              <w:rPr>
                <w:rFonts w:ascii="仿宋_GB2312" w:hAnsi="仿宋_GB2312" w:cs="仿宋_GB2312" w:eastAsia="仿宋_GB2312"/>
                <w:sz w:val="24"/>
              </w:rPr>
              <w:t>机械钉轮式</w:t>
            </w:r>
          </w:p>
          <w:p>
            <w:pPr>
              <w:pStyle w:val="null5"/>
              <w:numPr>
                <w:ilvl w:val="0"/>
                <w:numId w:val="1"/>
              </w:numPr>
              <w:jc w:val="both"/>
            </w:pPr>
            <w:r>
              <w:rPr>
                <w:rFonts w:ascii="仿宋_GB2312" w:hAnsi="仿宋_GB2312" w:cs="仿宋_GB2312" w:eastAsia="仿宋_GB2312"/>
                <w:sz w:val="24"/>
              </w:rPr>
              <w:t>播种单体型式</w:t>
            </w:r>
            <w:r>
              <w:rPr>
                <w:rFonts w:ascii="仿宋_GB2312" w:hAnsi="仿宋_GB2312" w:cs="仿宋_GB2312" w:eastAsia="仿宋_GB2312"/>
                <w:sz w:val="24"/>
              </w:rPr>
              <w:t>：</w:t>
            </w:r>
            <w:r>
              <w:rPr>
                <w:rFonts w:ascii="仿宋_GB2312" w:hAnsi="仿宋_GB2312" w:cs="仿宋_GB2312" w:eastAsia="仿宋_GB2312"/>
                <w:sz w:val="24"/>
              </w:rPr>
              <w:t>次园盘播种单体种箱容积</w:t>
            </w:r>
            <w:r>
              <w:rPr>
                <w:rFonts w:ascii="仿宋_GB2312" w:hAnsi="仿宋_GB2312" w:cs="仿宋_GB2312" w:eastAsia="仿宋_GB2312"/>
                <w:sz w:val="24"/>
              </w:rPr>
              <w:t>：</w:t>
            </w:r>
            <w:r>
              <w:rPr>
                <w:rFonts w:ascii="仿宋_GB2312" w:hAnsi="仿宋_GB2312" w:cs="仿宋_GB2312" w:eastAsia="仿宋_GB2312"/>
                <w:sz w:val="24"/>
              </w:rPr>
              <w:t>800</w:t>
            </w:r>
            <w:r>
              <w:rPr>
                <w:rFonts w:ascii="仿宋_GB2312" w:hAnsi="仿宋_GB2312" w:cs="仿宋_GB2312" w:eastAsia="仿宋_GB2312"/>
                <w:sz w:val="24"/>
              </w:rPr>
              <w:t>L</w:t>
            </w:r>
          </w:p>
          <w:p>
            <w:pPr>
              <w:pStyle w:val="null5"/>
              <w:numPr>
                <w:ilvl w:val="0"/>
                <w:numId w:val="1"/>
              </w:numPr>
              <w:jc w:val="both"/>
            </w:pPr>
            <w:r>
              <w:rPr>
                <w:rFonts w:ascii="仿宋_GB2312" w:hAnsi="仿宋_GB2312" w:cs="仿宋_GB2312" w:eastAsia="仿宋_GB2312"/>
                <w:sz w:val="24"/>
              </w:rPr>
              <w:t>作业速度</w:t>
            </w:r>
            <w:r>
              <w:rPr>
                <w:rFonts w:ascii="仿宋_GB2312" w:hAnsi="仿宋_GB2312" w:cs="仿宋_GB2312" w:eastAsia="仿宋_GB2312"/>
                <w:sz w:val="24"/>
              </w:rPr>
              <w:t>：</w:t>
            </w:r>
            <w:r>
              <w:rPr>
                <w:rFonts w:ascii="仿宋_GB2312" w:hAnsi="仿宋_GB2312" w:cs="仿宋_GB2312" w:eastAsia="仿宋_GB2312"/>
                <w:sz w:val="24"/>
              </w:rPr>
              <w:t>8-10km/h</w:t>
            </w:r>
          </w:p>
          <w:p>
            <w:pPr>
              <w:pStyle w:val="null5"/>
              <w:jc w:val="both"/>
            </w:pPr>
            <w:r>
              <w:rPr>
                <w:rFonts w:ascii="仿宋_GB2312" w:hAnsi="仿宋_GB2312" w:cs="仿宋_GB2312" w:eastAsia="仿宋_GB2312"/>
                <w:sz w:val="28"/>
                <w:b/>
              </w:rPr>
              <w:t>四、接电材料含安装</w:t>
            </w:r>
            <w:r>
              <w:rPr>
                <w:rFonts w:ascii="仿宋_GB2312" w:hAnsi="仿宋_GB2312" w:cs="仿宋_GB2312" w:eastAsia="仿宋_GB2312"/>
                <w:sz w:val="28"/>
                <w:b/>
              </w:rPr>
              <w:t>（数量：</w:t>
            </w:r>
            <w:r>
              <w:rPr>
                <w:rFonts w:ascii="仿宋_GB2312" w:hAnsi="仿宋_GB2312" w:cs="仿宋_GB2312" w:eastAsia="仿宋_GB2312"/>
                <w:sz w:val="28"/>
                <w:b/>
              </w:rPr>
              <w:t>1项）</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S11</w:t>
            </w:r>
            <w:r>
              <w:rPr>
                <w:rFonts w:ascii="仿宋_GB2312" w:hAnsi="仿宋_GB2312" w:cs="仿宋_GB2312" w:eastAsia="仿宋_GB2312"/>
                <w:sz w:val="24"/>
              </w:rPr>
              <w:t>变压器</w:t>
            </w:r>
            <w:r>
              <w:rPr>
                <w:rFonts w:ascii="仿宋_GB2312" w:hAnsi="仿宋_GB2312" w:cs="仿宋_GB2312" w:eastAsia="仿宋_GB2312"/>
                <w:sz w:val="24"/>
              </w:rPr>
              <w:t>100</w:t>
            </w:r>
            <w:r>
              <w:rPr>
                <w:rFonts w:ascii="仿宋_GB2312" w:hAnsi="仿宋_GB2312" w:cs="仿宋_GB2312" w:eastAsia="仿宋_GB2312"/>
                <w:sz w:val="24"/>
              </w:rPr>
              <w:t>千伏安（</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个含安装。</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120</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吕电缆</w:t>
            </w:r>
            <w:r>
              <w:rPr>
                <w:rFonts w:ascii="仿宋_GB2312" w:hAnsi="仿宋_GB2312" w:cs="仿宋_GB2312" w:eastAsia="仿宋_GB2312"/>
                <w:sz w:val="24"/>
              </w:rPr>
              <w:t>3000</w:t>
            </w:r>
            <w:r>
              <w:rPr>
                <w:rFonts w:ascii="仿宋_GB2312" w:hAnsi="仿宋_GB2312" w:cs="仿宋_GB2312" w:eastAsia="仿宋_GB2312"/>
                <w:sz w:val="24"/>
              </w:rPr>
              <w:t>米含安装。</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PE</w:t>
            </w:r>
            <w:r>
              <w:rPr>
                <w:rFonts w:ascii="仿宋_GB2312" w:hAnsi="仿宋_GB2312" w:cs="仿宋_GB2312" w:eastAsia="仿宋_GB2312"/>
                <w:sz w:val="24"/>
              </w:rPr>
              <w:t>套管</w:t>
            </w:r>
            <w:r>
              <w:rPr>
                <w:rFonts w:ascii="仿宋_GB2312" w:hAnsi="仿宋_GB2312" w:cs="仿宋_GB2312" w:eastAsia="仿宋_GB2312"/>
                <w:sz w:val="24"/>
              </w:rPr>
              <w:t>100</w:t>
            </w:r>
            <w:r>
              <w:rPr>
                <w:rFonts w:ascii="仿宋_GB2312" w:hAnsi="仿宋_GB2312" w:cs="仿宋_GB2312" w:eastAsia="仿宋_GB2312"/>
                <w:sz w:val="24"/>
              </w:rPr>
              <w:t>型号</w:t>
            </w:r>
            <w:r>
              <w:rPr>
                <w:rFonts w:ascii="仿宋_GB2312" w:hAnsi="仿宋_GB2312" w:cs="仿宋_GB2312" w:eastAsia="仿宋_GB2312"/>
                <w:sz w:val="24"/>
              </w:rPr>
              <w:t>3000</w:t>
            </w:r>
            <w:r>
              <w:rPr>
                <w:rFonts w:ascii="仿宋_GB2312" w:hAnsi="仿宋_GB2312" w:cs="仿宋_GB2312" w:eastAsia="仿宋_GB2312"/>
                <w:sz w:val="24"/>
              </w:rPr>
              <w:t>米含安装。</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3000</w:t>
            </w:r>
            <w:r>
              <w:rPr>
                <w:rFonts w:ascii="仿宋_GB2312" w:hAnsi="仿宋_GB2312" w:cs="仿宋_GB2312" w:eastAsia="仿宋_GB2312"/>
                <w:sz w:val="24"/>
              </w:rPr>
              <w:t>米开槽深度</w:t>
            </w:r>
            <w:r>
              <w:rPr>
                <w:rFonts w:ascii="仿宋_GB2312" w:hAnsi="仿宋_GB2312" w:cs="仿宋_GB2312" w:eastAsia="仿宋_GB2312"/>
                <w:sz w:val="24"/>
              </w:rPr>
              <w:t>50</w:t>
            </w:r>
            <w:r>
              <w:rPr>
                <w:rFonts w:ascii="仿宋_GB2312" w:hAnsi="仿宋_GB2312" w:cs="仿宋_GB2312" w:eastAsia="仿宋_GB2312"/>
                <w:sz w:val="24"/>
              </w:rPr>
              <w:t>公分，回填</w:t>
            </w:r>
            <w:r>
              <w:rPr>
                <w:rFonts w:ascii="仿宋_GB2312" w:hAnsi="仿宋_GB2312" w:cs="仿宋_GB2312" w:eastAsia="仿宋_GB2312"/>
                <w:sz w:val="24"/>
              </w:rPr>
              <w:t>50</w:t>
            </w:r>
            <w:r>
              <w:rPr>
                <w:rFonts w:ascii="仿宋_GB2312" w:hAnsi="仿宋_GB2312" w:cs="仿宋_GB2312" w:eastAsia="仿宋_GB2312"/>
                <w:sz w:val="24"/>
              </w:rPr>
              <w:t>公分。</w:t>
            </w:r>
          </w:p>
          <w:p>
            <w:pPr>
              <w:pStyle w:val="null5"/>
              <w:jc w:val="both"/>
            </w:pP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根据投标供应商提供的供货方案进行评审，方案能充分了解采购需求，方案详细完善，内容具体，有明确的支持保障及经验丰富的相关人员安排，标的物安全运输，供货保证措施可靠性强，进度安排合理有层次、时间安排合理迅速得当的得7.1-10分；方案比较完善，内容比较具体的得4.1-7.0分，方案不完善，内容不具体的得1.0-4.0分，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根据投标供应商提供的培训方案进行评审，方案对产品的使用，日常维护、常见故障处理等，方案全面完善、内容详细具体、可比性强、完全符合项目实际情况及采购人实际需求的得7.1-10分，方案比较完善、内容比较详细具体的得4.1-7.0分，方案不完善、内容不详细具体的得1.0-4.0分，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投标产品的整体质量状况等</w:t>
            </w:r>
          </w:p>
        </w:tc>
        <w:tc>
          <w:tcPr>
            <w:tcW w:type="dxa" w:w="3115"/>
          </w:tcPr>
          <w:p>
            <w:pPr>
              <w:pStyle w:val="null5"/>
              <w:jc w:val="left"/>
            </w:pPr>
            <w:r>
              <w:rPr>
                <w:rFonts w:ascii="仿宋_GB2312" w:hAnsi="仿宋_GB2312" w:cs="仿宋_GB2312" w:eastAsia="仿宋_GB2312"/>
              </w:rPr>
              <w:t>根据投标供应商提供的产品整体质量性能状况进行评审，包括但不限于：耐用性、安全性、以及作业质量状况等：产品整体质量性能描述完整，能准确的叙述产品的耐用性、安全性、且作业质量状况得7.1-10分；产品整体质量性能描述比较完整，能比较准确的叙述产品的耐用性、安全性、且作业质量状况得4.1-7.0分；产品整体质量性能描述不完整，不能准确的叙述产品的耐用性、安全性、且作业质量状况得1.0-4.0分，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产品性能合理性</w:t>
            </w:r>
          </w:p>
        </w:tc>
        <w:tc>
          <w:tcPr>
            <w:tcW w:type="dxa" w:w="3115"/>
          </w:tcPr>
          <w:p>
            <w:pPr>
              <w:pStyle w:val="null5"/>
              <w:jc w:val="left"/>
            </w:pPr>
            <w:r>
              <w:rPr>
                <w:rFonts w:ascii="仿宋_GB2312" w:hAnsi="仿宋_GB2312" w:cs="仿宋_GB2312" w:eastAsia="仿宋_GB2312"/>
              </w:rPr>
              <w:t>根据供应商所投产品的综合性能进行横向比较，分档计分，产品技术先进、设备综合性能优的，得7.1-10分；产品技术性能较好、设备综合性能较高的，得4.1-7.0分；产品技术一般、设备综合性能差的得1.0-4.0分，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安装调试方案</w:t>
            </w:r>
          </w:p>
        </w:tc>
        <w:tc>
          <w:tcPr>
            <w:tcW w:type="dxa" w:w="3115"/>
          </w:tcPr>
          <w:p>
            <w:pPr>
              <w:pStyle w:val="null5"/>
              <w:jc w:val="left"/>
            </w:pPr>
            <w:r>
              <w:rPr>
                <w:rFonts w:ascii="仿宋_GB2312" w:hAnsi="仿宋_GB2312" w:cs="仿宋_GB2312" w:eastAsia="仿宋_GB2312"/>
              </w:rPr>
              <w:t>根据投标供应商提供的安装调试方案进行评审，安装调试方案符合国家和行业规范，与使用单位配合，方案全面完善、内容详细具体、可比性强、完全符合项目实际情况及采购人实际需求的得7.1-10分；方案比较完善、内容比较详细具体的得4.1-7.0分，方案不完善、内容不详细具体的得1.0-4.0分，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根据投标供应商提供的售后服务方案进行评审，方案包括但不限于正常巡检、终身维护、配件供应、维修处理时限，明确相关负责人员，技术人员，现场服务条件及响应到位时间、紧急故障补救措施等。服务方案详细、具体，完全满足采购需求要求的得7.1-10分；服务方案较详细、具体，满足采购需求的得4.1-7.0分；服务方案基本详细、具体，基本满足采购需求的得1.0-4.0分；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供应商业绩</w:t>
            </w:r>
          </w:p>
        </w:tc>
        <w:tc>
          <w:tcPr>
            <w:tcW w:type="dxa" w:w="3115"/>
          </w:tcPr>
          <w:p>
            <w:pPr>
              <w:pStyle w:val="null5"/>
              <w:jc w:val="left"/>
            </w:pPr>
            <w:r>
              <w:rPr>
                <w:rFonts w:ascii="仿宋_GB2312" w:hAnsi="仿宋_GB2312" w:cs="仿宋_GB2312" w:eastAsia="仿宋_GB2312"/>
              </w:rPr>
              <w:t>供应商近三年内（2022年1月1日起至今）完成采购供货项目业绩，每提供1份得2.5分，最高得10分（以提供合同扫描件为准）。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 Id="rId8" Target="numbering.xml" Type="http://schemas.openxmlformats.org/officeDocument/2006/relationships/numberi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