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通辽经济技术开发区政务服务中心综合窗口外包服务项目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通辽经济技术开发区发展改革局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内蒙古誉泽工程项目管理有限公司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TKFQZCS-C-F-250002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内蒙古誉泽工程项目管理有限公司</w:t>
      </w:r>
      <w:r>
        <w:rPr>
          <w:rFonts w:ascii="仿宋_GB2312" w:hAnsi="仿宋_GB2312" w:cs="仿宋_GB2312" w:eastAsia="仿宋_GB2312"/>
        </w:rPr>
        <w:t xml:space="preserve"> 受 </w:t>
      </w:r>
      <w:r>
        <w:rPr>
          <w:rFonts w:ascii="仿宋_GB2312" w:hAnsi="仿宋_GB2312" w:cs="仿宋_GB2312" w:eastAsia="仿宋_GB2312"/>
        </w:rPr>
        <w:t>通辽经济技术开发区发展改革局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通辽经济技术开发区政务服务中心综合窗口外包服务项目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通辽经济技术开发区政务服务中心综合窗口外包服务项目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TKFQZCS-C-F-250002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150582[2025]00003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通辽经济技术开发区政务服务中心综合窗口外包服务项目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内蒙古誉泽工程项目管理有限公司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攸攸板镇四合兴村钢铁路阿吉勒小区2号楼一层1单元3号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史虹凤</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13347120222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通辽经济技术开发区发展改革局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内蒙古通辽市开发区阿古拉大街创业大厦12楼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王健</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15149998858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代理服务费收费标准：参照内工建协【2022】34号《内蒙古自治区建设工程招标代理服务收费指导意见》的文件规定收取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通辽经济技术开发区发展改革局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内蒙古誉泽工程项目管理有限公司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进一步推动“放管服”改革和利企便民措施落地见效，依据《国务院关于加快推进政务服务标准化规范化便利化的指导意见》（国发〔2022〕5号）和《关于全面推行“蒙速办•一网办”“掌上办”“一次办”“帮您办”工作实施方案的通知》（内政办发〔2021〕8号）等要求及关于各级政务服务中心设置综合窗口的部署要求，进一步提升政务服务效能和水平，有效解决政务服务领域专业人员短缺与承担任务日益繁重的矛盾。</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ind w:firstLine="482"/>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项目概况</w:t>
            </w:r>
          </w:p>
          <w:p>
            <w:pPr>
              <w:pStyle w:val="null5"/>
              <w:ind w:firstLine="480"/>
              <w:jc w:val="both"/>
            </w:pPr>
            <w:r>
              <w:rPr>
                <w:rFonts w:ascii="仿宋_GB2312" w:hAnsi="仿宋_GB2312" w:cs="仿宋_GB2312" w:eastAsia="仿宋_GB2312"/>
                <w:sz w:val="24"/>
              </w:rPr>
              <w:t>为进一步推动</w:t>
            </w:r>
            <w:r>
              <w:rPr>
                <w:rFonts w:ascii="仿宋_GB2312" w:hAnsi="仿宋_GB2312" w:cs="仿宋_GB2312" w:eastAsia="仿宋_GB2312"/>
                <w:sz w:val="24"/>
              </w:rPr>
              <w:t>“放管服”改革和利企便民措施落地见效，依据《国务院关于加快推进政务服务标准化规范化便利化的指导意见》（国发〔2022〕5号）和《关于全面推行“蒙速办•一网办”“掌上办”“一次办”“帮您办”工作实施方案的通知》（内政办发〔2021〕8号）等要求及关于各级政务服务中心设置综合窗口的部署要求，进一步提升政务服务效能和水平，有效解决政务服务领域专业人员短缺与承担任务日益繁重的矛盾。</w:t>
            </w:r>
          </w:p>
          <w:p>
            <w:pPr>
              <w:pStyle w:val="null5"/>
              <w:ind w:firstLine="482"/>
              <w:jc w:val="left"/>
            </w:pPr>
            <w:r>
              <w:rPr>
                <w:rFonts w:ascii="仿宋_GB2312" w:hAnsi="仿宋_GB2312" w:cs="仿宋_GB2312" w:eastAsia="仿宋_GB2312"/>
                <w:sz w:val="24"/>
                <w:b/>
                <w:color w:val="000000"/>
              </w:rPr>
              <w:t>二、项目名称</w:t>
            </w:r>
          </w:p>
          <w:p>
            <w:pPr>
              <w:pStyle w:val="null5"/>
              <w:ind w:firstLine="480"/>
              <w:jc w:val="left"/>
            </w:pPr>
            <w:r>
              <w:rPr>
                <w:rFonts w:ascii="仿宋_GB2312" w:hAnsi="仿宋_GB2312" w:cs="仿宋_GB2312" w:eastAsia="仿宋_GB2312"/>
                <w:sz w:val="24"/>
                <w:color w:val="000000"/>
              </w:rPr>
              <w:t>通辽经济技术开发区政务服务中心综合窗口外包服务项目</w:t>
            </w:r>
          </w:p>
          <w:p>
            <w:pPr>
              <w:pStyle w:val="null5"/>
              <w:ind w:firstLine="482"/>
              <w:jc w:val="left"/>
            </w:pPr>
            <w:r>
              <w:rPr>
                <w:rFonts w:ascii="仿宋_GB2312" w:hAnsi="仿宋_GB2312" w:cs="仿宋_GB2312" w:eastAsia="仿宋_GB2312"/>
                <w:sz w:val="24"/>
                <w:b/>
                <w:color w:val="000000"/>
              </w:rPr>
              <w:t>三、采购内容</w:t>
            </w:r>
          </w:p>
          <w:p>
            <w:pPr>
              <w:pStyle w:val="null5"/>
              <w:ind w:firstLine="480"/>
              <w:jc w:val="left"/>
            </w:pPr>
            <w:r>
              <w:rPr>
                <w:rFonts w:ascii="仿宋_GB2312" w:hAnsi="仿宋_GB2312" w:cs="仿宋_GB2312" w:eastAsia="仿宋_GB2312"/>
                <w:sz w:val="24"/>
                <w:color w:val="000000"/>
              </w:rPr>
              <w:t>为能够顺利开展本项目所涉及的工作，服务期内供应商按照采购人需求</w:t>
            </w:r>
            <w:r>
              <w:rPr>
                <w:rFonts w:ascii="仿宋_GB2312" w:hAnsi="仿宋_GB2312" w:cs="仿宋_GB2312" w:eastAsia="仿宋_GB2312"/>
                <w:sz w:val="24"/>
                <w:color w:val="000000"/>
              </w:rPr>
              <w:t>提供以下服务内容。</w:t>
            </w:r>
          </w:p>
          <w:p>
            <w:pPr>
              <w:pStyle w:val="null5"/>
              <w:numPr>
                <w:ilvl w:val="0"/>
                <w:numId w:val="1"/>
              </w:numPr>
              <w:jc w:val="left"/>
            </w:pPr>
            <w:r>
              <w:rPr>
                <w:rFonts w:ascii="仿宋_GB2312" w:hAnsi="仿宋_GB2312" w:cs="仿宋_GB2312" w:eastAsia="仿宋_GB2312"/>
                <w:sz w:val="24"/>
                <w:color w:val="000000"/>
              </w:rPr>
              <w:t>综合窗口规划</w:t>
            </w:r>
          </w:p>
          <w:p>
            <w:pPr>
              <w:pStyle w:val="null5"/>
              <w:ind w:firstLine="480"/>
              <w:jc w:val="both"/>
            </w:pPr>
            <w:r>
              <w:rPr>
                <w:rFonts w:ascii="仿宋_GB2312" w:hAnsi="仿宋_GB2312" w:cs="仿宋_GB2312" w:eastAsia="仿宋_GB2312"/>
                <w:sz w:val="24"/>
                <w:color w:val="000000"/>
              </w:rPr>
              <w:t>供应商需根据项目需要，</w:t>
            </w:r>
            <w:r>
              <w:rPr>
                <w:rFonts w:ascii="仿宋_GB2312" w:hAnsi="仿宋_GB2312" w:cs="仿宋_GB2312" w:eastAsia="仿宋_GB2312"/>
                <w:sz w:val="24"/>
                <w:color w:val="000000"/>
              </w:rPr>
              <w:t>按照业务最大综合、流程最大优化、人员最大利用、办事最大便捷、保障最大效益、成本最大节约的原则，根据服务规范化要求设立综合窗口。</w:t>
            </w:r>
          </w:p>
          <w:p>
            <w:pPr>
              <w:pStyle w:val="null5"/>
              <w:numPr>
                <w:ilvl w:val="0"/>
                <w:numId w:val="1"/>
              </w:numPr>
              <w:jc w:val="left"/>
            </w:pPr>
            <w:r>
              <w:rPr>
                <w:rFonts w:ascii="仿宋_GB2312" w:hAnsi="仿宋_GB2312" w:cs="仿宋_GB2312" w:eastAsia="仿宋_GB2312"/>
                <w:sz w:val="24"/>
                <w:color w:val="000000"/>
              </w:rPr>
              <w:t>综窗服务团队建设</w:t>
            </w:r>
          </w:p>
          <w:p>
            <w:pPr>
              <w:pStyle w:val="null5"/>
              <w:ind w:firstLine="480"/>
              <w:jc w:val="left"/>
            </w:pPr>
            <w:r>
              <w:rPr>
                <w:rFonts w:ascii="仿宋_GB2312" w:hAnsi="仿宋_GB2312" w:cs="仿宋_GB2312" w:eastAsia="仿宋_GB2312"/>
                <w:sz w:val="24"/>
                <w:color w:val="000000"/>
              </w:rPr>
              <w:t>完成综合窗口队伍的建设，包括人员招聘、队伍分区、辅助保障、制度建设、考试培训等队伍建设任务。根据大厅工作要求，制定政务服务各岗位工作职责，岗位指导书、业务工作流程等制度汇编。为企业群众提供线上线下统一、服务标准统一、服务品质统一、品牌形象统一的政务服务。</w:t>
            </w:r>
          </w:p>
          <w:p>
            <w:pPr>
              <w:pStyle w:val="null5"/>
              <w:numPr>
                <w:ilvl w:val="0"/>
                <w:numId w:val="1"/>
              </w:numPr>
              <w:jc w:val="left"/>
            </w:pPr>
            <w:r>
              <w:rPr>
                <w:rFonts w:ascii="仿宋_GB2312" w:hAnsi="仿宋_GB2312" w:cs="仿宋_GB2312" w:eastAsia="仿宋_GB2312"/>
                <w:sz w:val="24"/>
                <w:color w:val="000000"/>
              </w:rPr>
              <w:t>项目运营管理</w:t>
            </w:r>
          </w:p>
          <w:p>
            <w:pPr>
              <w:pStyle w:val="null5"/>
              <w:ind w:firstLine="480"/>
              <w:jc w:val="left"/>
            </w:pPr>
            <w:r>
              <w:rPr>
                <w:rFonts w:ascii="仿宋_GB2312" w:hAnsi="仿宋_GB2312" w:cs="仿宋_GB2312" w:eastAsia="仿宋_GB2312"/>
                <w:sz w:val="24"/>
                <w:color w:val="000000"/>
              </w:rPr>
              <w:t>数字化管理。引入数字化管理平台，根据政务服务中心各项管理标准进行功能设计，深度契合各项管理制度和工作流程，并在执行过程中充分留痕，做到管理过程可视化、标准执行可观测、流程规范可追溯、业务数据可分析。</w:t>
            </w:r>
          </w:p>
          <w:p>
            <w:pPr>
              <w:pStyle w:val="null5"/>
              <w:ind w:firstLine="480"/>
              <w:jc w:val="left"/>
            </w:pPr>
            <w:r>
              <w:rPr>
                <w:rFonts w:ascii="仿宋_GB2312" w:hAnsi="仿宋_GB2312" w:cs="仿宋_GB2312" w:eastAsia="仿宋_GB2312"/>
                <w:sz w:val="24"/>
                <w:color w:val="000000"/>
              </w:rPr>
              <w:t>宣传讲解服务。主要配合大厅参观学习的讲解展示、督察组来访接待、参观带领、业务解答</w:t>
            </w:r>
            <w:r>
              <w:rPr>
                <w:rFonts w:ascii="仿宋_GB2312" w:hAnsi="仿宋_GB2312" w:cs="仿宋_GB2312" w:eastAsia="仿宋_GB2312"/>
                <w:sz w:val="24"/>
                <w:color w:val="000000"/>
              </w:rPr>
              <w:t>、对政务服务工作亮点挖掘、信息宣传</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政务服务培训服务：</w:t>
            </w:r>
          </w:p>
          <w:p>
            <w:pPr>
              <w:pStyle w:val="null5"/>
              <w:ind w:firstLine="480"/>
              <w:jc w:val="left"/>
            </w:pPr>
            <w:r>
              <w:rPr>
                <w:rFonts w:ascii="仿宋_GB2312" w:hAnsi="仿宋_GB2312" w:cs="仿宋_GB2312" w:eastAsia="仿宋_GB2312"/>
                <w:sz w:val="24"/>
                <w:color w:val="000000"/>
              </w:rPr>
              <w:t>提供培训服务，制定培训计划，编写培训教材，对服务人员展开培训。</w:t>
            </w:r>
          </w:p>
          <w:p>
            <w:pPr>
              <w:pStyle w:val="null5"/>
              <w:ind w:firstLine="480"/>
              <w:jc w:val="left"/>
            </w:pPr>
            <w:r>
              <w:rPr>
                <w:rFonts w:ascii="仿宋_GB2312" w:hAnsi="仿宋_GB2312" w:cs="仿宋_GB2312" w:eastAsia="仿宋_GB2312"/>
                <w:sz w:val="24"/>
                <w:color w:val="000000"/>
              </w:rPr>
              <w:t>政策培训。主要对服务人员进行内蒙古、通辽市深化</w:t>
            </w:r>
            <w:r>
              <w:rPr>
                <w:rFonts w:ascii="仿宋_GB2312" w:hAnsi="仿宋_GB2312" w:cs="仿宋_GB2312" w:eastAsia="仿宋_GB2312"/>
                <w:sz w:val="24"/>
                <w:color w:val="000000"/>
              </w:rPr>
              <w:t>“放管服”改革优化营商环境的背景及相关政策进行培训，熟悉掌握政务服务改革建设内容。</w:t>
            </w:r>
          </w:p>
          <w:p>
            <w:pPr>
              <w:pStyle w:val="null5"/>
              <w:ind w:firstLine="480"/>
              <w:jc w:val="left"/>
            </w:pPr>
            <w:r>
              <w:rPr>
                <w:rFonts w:ascii="仿宋_GB2312" w:hAnsi="仿宋_GB2312" w:cs="仿宋_GB2312" w:eastAsia="仿宋_GB2312"/>
                <w:sz w:val="24"/>
                <w:color w:val="000000"/>
              </w:rPr>
              <w:t>服务培训。主要围绕窗口工作人员所必备的服务礼仪、行为规范和工作素养进行培训，做到服务效率、服务质量和服务方式的全面提升，按照政务服务标准化要求统一工作服装。</w:t>
            </w:r>
          </w:p>
          <w:p>
            <w:pPr>
              <w:pStyle w:val="null5"/>
              <w:numPr>
                <w:ilvl w:val="0"/>
                <w:numId w:val="1"/>
              </w:numPr>
              <w:jc w:val="left"/>
            </w:pPr>
            <w:r>
              <w:rPr>
                <w:rFonts w:ascii="仿宋_GB2312" w:hAnsi="仿宋_GB2312" w:cs="仿宋_GB2312" w:eastAsia="仿宋_GB2312"/>
                <w:sz w:val="24"/>
                <w:color w:val="000000"/>
              </w:rPr>
              <w:t>管理岗工作内容</w:t>
            </w:r>
          </w:p>
          <w:p>
            <w:pPr>
              <w:pStyle w:val="null5"/>
              <w:ind w:firstLine="480"/>
              <w:jc w:val="both"/>
            </w:pPr>
            <w:r>
              <w:rPr>
                <w:rFonts w:ascii="仿宋_GB2312" w:hAnsi="仿宋_GB2312" w:cs="仿宋_GB2312" w:eastAsia="仿宋_GB2312"/>
                <w:sz w:val="24"/>
                <w:color w:val="000000"/>
              </w:rPr>
              <w:t>项目经理：负责统筹项目整体管理工作。安排制定月培训计划，做好对员工的业务统筹、指导和管理，协助政务服务中心做好大厅各功能服务区的建设。</w:t>
            </w:r>
          </w:p>
          <w:p>
            <w:pPr>
              <w:pStyle w:val="null5"/>
              <w:ind w:firstLine="480"/>
              <w:jc w:val="both"/>
            </w:pPr>
            <w:r>
              <w:rPr>
                <w:rFonts w:ascii="仿宋_GB2312" w:hAnsi="仿宋_GB2312" w:cs="仿宋_GB2312" w:eastAsia="仿宋_GB2312"/>
                <w:sz w:val="24"/>
                <w:color w:val="000000"/>
              </w:rPr>
              <w:t>项目助理：辅助项目经理完成团队管理、业务运行、培训计划、工作汇报等相关工作。</w:t>
            </w:r>
          </w:p>
          <w:p>
            <w:pPr>
              <w:pStyle w:val="null5"/>
              <w:numPr>
                <w:ilvl w:val="0"/>
                <w:numId w:val="1"/>
              </w:numPr>
              <w:jc w:val="left"/>
            </w:pPr>
            <w:r>
              <w:rPr>
                <w:rFonts w:ascii="仿宋_GB2312" w:hAnsi="仿宋_GB2312" w:cs="仿宋_GB2312" w:eastAsia="仿宋_GB2312"/>
                <w:sz w:val="24"/>
                <w:color w:val="000000"/>
              </w:rPr>
              <w:t>公共服务岗工作内容</w:t>
            </w:r>
          </w:p>
          <w:p>
            <w:pPr>
              <w:pStyle w:val="null5"/>
              <w:ind w:firstLine="480"/>
              <w:jc w:val="left"/>
            </w:pPr>
            <w:r>
              <w:rPr>
                <w:rFonts w:ascii="仿宋_GB2312" w:hAnsi="仿宋_GB2312" w:cs="仿宋_GB2312" w:eastAsia="仿宋_GB2312"/>
                <w:sz w:val="24"/>
                <w:color w:val="000000"/>
              </w:rPr>
              <w:t>(1)综合受理</w:t>
            </w:r>
          </w:p>
          <w:p>
            <w:pPr>
              <w:pStyle w:val="null5"/>
              <w:ind w:firstLine="480"/>
              <w:jc w:val="left"/>
            </w:pPr>
            <w:r>
              <w:rPr>
                <w:rFonts w:ascii="仿宋_GB2312" w:hAnsi="仿宋_GB2312" w:cs="仿宋_GB2312" w:eastAsia="仿宋_GB2312"/>
                <w:sz w:val="24"/>
                <w:color w:val="000000"/>
              </w:rPr>
              <w:t>负责</w:t>
            </w:r>
            <w:r>
              <w:rPr>
                <w:rFonts w:ascii="仿宋_GB2312" w:hAnsi="仿宋_GB2312" w:cs="仿宋_GB2312" w:eastAsia="仿宋_GB2312"/>
                <w:sz w:val="24"/>
                <w:color w:val="000000"/>
              </w:rPr>
              <w:t>“蒙速办·一次办 ”“ 蒙速办·帮您办”、</w:t>
            </w:r>
            <w:r>
              <w:rPr>
                <w:rFonts w:ascii="仿宋_GB2312" w:hAnsi="仿宋_GB2312" w:cs="仿宋_GB2312" w:eastAsia="仿宋_GB2312"/>
                <w:sz w:val="24"/>
                <w:color w:val="000000"/>
              </w:rPr>
              <w:t>“高效办成一件事”</w:t>
            </w:r>
            <w:r>
              <w:rPr>
                <w:rFonts w:ascii="仿宋_GB2312" w:hAnsi="仿宋_GB2312" w:cs="仿宋_GB2312" w:eastAsia="仿宋_GB2312"/>
                <w:sz w:val="24"/>
                <w:color w:val="000000"/>
              </w:rPr>
              <w:t>、</w:t>
            </w:r>
            <w:r>
              <w:rPr>
                <w:rFonts w:ascii="仿宋_GB2312" w:hAnsi="仿宋_GB2312" w:cs="仿宋_GB2312" w:eastAsia="仿宋_GB2312"/>
                <w:sz w:val="24"/>
                <w:color w:val="000000"/>
              </w:rPr>
              <w:t>市场准入和退出流程再造、综合受理、代办帮办、资料流转、协调对接、统一出件等工作，提供不间断服务和特约服务，限时办结、延时办理，落实</w:t>
            </w:r>
            <w:r>
              <w:rPr>
                <w:rFonts w:ascii="仿宋_GB2312" w:hAnsi="仿宋_GB2312" w:cs="仿宋_GB2312" w:eastAsia="仿宋_GB2312"/>
                <w:sz w:val="24"/>
                <w:color w:val="000000"/>
              </w:rPr>
              <w:t>“前台统一受理、后台分类审批、综合窗口出件”工作模式，认真完成窗口接件、预审、补正、受理、办件、催办各项工作任务。</w:t>
            </w:r>
          </w:p>
          <w:p>
            <w:pPr>
              <w:pStyle w:val="null5"/>
              <w:ind w:firstLine="480"/>
              <w:jc w:val="left"/>
            </w:pPr>
            <w:r>
              <w:rPr>
                <w:rFonts w:ascii="仿宋_GB2312" w:hAnsi="仿宋_GB2312" w:cs="仿宋_GB2312" w:eastAsia="仿宋_GB2312"/>
                <w:sz w:val="24"/>
                <w:color w:val="000000"/>
              </w:rPr>
              <w:t>(2)咨询引导</w:t>
            </w:r>
          </w:p>
          <w:p>
            <w:pPr>
              <w:pStyle w:val="null5"/>
              <w:ind w:firstLine="480"/>
              <w:jc w:val="left"/>
            </w:pPr>
            <w:r>
              <w:rPr>
                <w:rFonts w:ascii="仿宋_GB2312" w:hAnsi="仿宋_GB2312" w:cs="仿宋_GB2312" w:eastAsia="仿宋_GB2312"/>
                <w:sz w:val="24"/>
                <w:color w:val="000000"/>
              </w:rPr>
              <w:t>1.主要承担各类政务服务事项的政策咨询、结果查询、接待服务、蒙汉双语服务、发放告知单、分析办理事项等。通过排队叫号系统或电话（网络）咨询引导办事人员到综合受理区办理或准备相关资料，做好电话接听和网上咨询建议回复工作。</w:t>
            </w:r>
          </w:p>
          <w:p>
            <w:pPr>
              <w:pStyle w:val="null5"/>
              <w:ind w:firstLine="480"/>
              <w:jc w:val="left"/>
            </w:pPr>
            <w:r>
              <w:rPr>
                <w:rFonts w:ascii="仿宋_GB2312" w:hAnsi="仿宋_GB2312" w:cs="仿宋_GB2312" w:eastAsia="仿宋_GB2312"/>
                <w:sz w:val="24"/>
                <w:color w:val="000000"/>
              </w:rPr>
              <w:t>2.主动提供现场帮办服务和自助设备协办服务，发现需要协助办理业务的群众，主动询问办事群众办理业务情况，为群众或特殊群体提供指引及帮扶等相关服务；指导办事群众熟悉并登录网上政务大厅，进行网上申报辅导，快速完成登记申请材料提交并备案；协助中心维护各类设施设备运行，维持办事大厅现场秩序，科学灵活处理突发事件。</w:t>
            </w:r>
          </w:p>
          <w:p>
            <w:pPr>
              <w:pStyle w:val="null5"/>
              <w:ind w:firstLine="480"/>
              <w:jc w:val="left"/>
            </w:pPr>
            <w:r>
              <w:rPr>
                <w:rFonts w:ascii="仿宋_GB2312" w:hAnsi="仿宋_GB2312" w:cs="仿宋_GB2312" w:eastAsia="仿宋_GB2312"/>
                <w:sz w:val="24"/>
                <w:color w:val="000000"/>
              </w:rPr>
              <w:t>(3)帮办代办</w:t>
            </w:r>
          </w:p>
          <w:p>
            <w:pPr>
              <w:pStyle w:val="null5"/>
              <w:ind w:firstLine="480"/>
              <w:jc w:val="left"/>
            </w:pPr>
            <w:r>
              <w:rPr>
                <w:rFonts w:ascii="仿宋_GB2312" w:hAnsi="仿宋_GB2312" w:cs="仿宋_GB2312" w:eastAsia="仿宋_GB2312"/>
                <w:sz w:val="24"/>
                <w:color w:val="000000"/>
              </w:rPr>
              <w:t>主动为企业和群众提供帮办代办服务，帮助准备材料，帮助完成网上申报、掌上办和自助办；为特殊群体提供指引及帮扶、代发等多场景帮办代办服务；对老弱病残孕等行动不便的群体开辟</w:t>
            </w:r>
            <w:r>
              <w:rPr>
                <w:rFonts w:ascii="仿宋_GB2312" w:hAnsi="仿宋_GB2312" w:cs="仿宋_GB2312" w:eastAsia="仿宋_GB2312"/>
                <w:sz w:val="24"/>
                <w:color w:val="000000"/>
              </w:rPr>
              <w:t>“绿色通道”，启用“无障碍”设施设备，力所能及地提供特惠性服务，让其能尽快进行业务办理。</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)跨省通办</w:t>
            </w:r>
          </w:p>
          <w:p>
            <w:pPr>
              <w:pStyle w:val="null5"/>
              <w:ind w:firstLine="480"/>
              <w:jc w:val="both"/>
            </w:pPr>
            <w:r>
              <w:rPr>
                <w:rFonts w:ascii="仿宋_GB2312" w:hAnsi="仿宋_GB2312" w:cs="仿宋_GB2312" w:eastAsia="仿宋_GB2312"/>
                <w:sz w:val="24"/>
                <w:color w:val="000000"/>
              </w:rPr>
              <w:t>为跨省需求的办事人员提供专门的受理服务。</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)爱心窗口</w:t>
            </w:r>
          </w:p>
          <w:p>
            <w:pPr>
              <w:pStyle w:val="null5"/>
              <w:ind w:firstLine="480"/>
              <w:jc w:val="both"/>
            </w:pPr>
            <w:r>
              <w:rPr>
                <w:rFonts w:ascii="仿宋_GB2312" w:hAnsi="仿宋_GB2312" w:cs="仿宋_GB2312" w:eastAsia="仿宋_GB2312"/>
                <w:sz w:val="24"/>
                <w:color w:val="000000"/>
              </w:rPr>
              <w:t>为特殊人群办事人员提供专门的受理服务。</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)出件服务</w:t>
            </w:r>
          </w:p>
          <w:p>
            <w:pPr>
              <w:pStyle w:val="null5"/>
              <w:ind w:firstLine="480"/>
              <w:jc w:val="left"/>
            </w:pPr>
            <w:r>
              <w:rPr>
                <w:rFonts w:ascii="仿宋_GB2312" w:hAnsi="仿宋_GB2312" w:cs="仿宋_GB2312" w:eastAsia="仿宋_GB2312"/>
                <w:sz w:val="24"/>
                <w:color w:val="000000"/>
              </w:rPr>
              <w:t>采取现场发证和邮政寄递等方式，提供业务办理批准文件</w:t>
            </w:r>
            <w:r>
              <w:rPr>
                <w:rFonts w:ascii="仿宋_GB2312" w:hAnsi="仿宋_GB2312" w:cs="仿宋_GB2312" w:eastAsia="仿宋_GB2312"/>
                <w:sz w:val="24"/>
                <w:color w:val="000000"/>
              </w:rPr>
              <w:t>(含即办件和非即办件)的送达服务，并做好每日登记和统计工作。</w:t>
            </w:r>
          </w:p>
          <w:p>
            <w:pPr>
              <w:pStyle w:val="null5"/>
              <w:ind w:firstLine="482"/>
              <w:jc w:val="left"/>
            </w:pPr>
            <w:r>
              <w:rPr>
                <w:rFonts w:ascii="仿宋_GB2312" w:hAnsi="仿宋_GB2312" w:cs="仿宋_GB2312" w:eastAsia="仿宋_GB2312"/>
                <w:sz w:val="24"/>
                <w:b/>
                <w:color w:val="000000"/>
              </w:rPr>
              <w:t>四、服务地点：</w:t>
            </w:r>
            <w:r>
              <w:rPr>
                <w:rFonts w:ascii="仿宋_GB2312" w:hAnsi="仿宋_GB2312" w:cs="仿宋_GB2312" w:eastAsia="仿宋_GB2312"/>
                <w:sz w:val="24"/>
                <w:color w:val="000000"/>
              </w:rPr>
              <w:t>通辽经济技术开发区</w:t>
            </w:r>
            <w:r>
              <w:rPr>
                <w:rFonts w:ascii="仿宋_GB2312" w:hAnsi="仿宋_GB2312" w:cs="仿宋_GB2312" w:eastAsia="仿宋_GB2312"/>
                <w:sz w:val="24"/>
                <w:color w:val="000000"/>
              </w:rPr>
              <w:t>政务服务中心</w:t>
            </w:r>
          </w:p>
          <w:p>
            <w:pPr>
              <w:pStyle w:val="null5"/>
              <w:ind w:firstLine="482"/>
              <w:jc w:val="left"/>
            </w:pPr>
            <w:r>
              <w:rPr>
                <w:rFonts w:ascii="仿宋_GB2312" w:hAnsi="仿宋_GB2312" w:cs="仿宋_GB2312" w:eastAsia="仿宋_GB2312"/>
                <w:sz w:val="24"/>
                <w:b/>
                <w:color w:val="000000"/>
              </w:rPr>
              <w:t>五、采购预算最高限价：</w:t>
            </w:r>
            <w:r>
              <w:rPr>
                <w:rFonts w:ascii="仿宋_GB2312" w:hAnsi="仿宋_GB2312" w:cs="仿宋_GB2312" w:eastAsia="仿宋_GB2312"/>
                <w:sz w:val="24"/>
                <w:color w:val="000000"/>
              </w:rPr>
              <w:t>人民币</w:t>
            </w:r>
            <w:r>
              <w:rPr>
                <w:rFonts w:ascii="仿宋_GB2312" w:hAnsi="仿宋_GB2312" w:cs="仿宋_GB2312" w:eastAsia="仿宋_GB2312"/>
                <w:sz w:val="24"/>
                <w:color w:val="000000"/>
              </w:rPr>
              <w:t>1300000元/年</w:t>
            </w:r>
          </w:p>
          <w:p>
            <w:pPr>
              <w:pStyle w:val="null5"/>
              <w:ind w:firstLine="482"/>
              <w:jc w:val="left"/>
            </w:pPr>
            <w:r>
              <w:rPr>
                <w:rFonts w:ascii="仿宋_GB2312" w:hAnsi="仿宋_GB2312" w:cs="仿宋_GB2312" w:eastAsia="仿宋_GB2312"/>
                <w:sz w:val="24"/>
                <w:b/>
                <w:color w:val="000000"/>
              </w:rPr>
              <w:t>六、服务</w:t>
            </w:r>
            <w:r>
              <w:rPr>
                <w:rFonts w:ascii="仿宋_GB2312" w:hAnsi="仿宋_GB2312" w:cs="仿宋_GB2312" w:eastAsia="仿宋_GB2312"/>
                <w:sz w:val="24"/>
                <w:b/>
                <w:color w:val="000000"/>
              </w:rPr>
              <w:t>期限：</w:t>
            </w:r>
            <w:r>
              <w:rPr>
                <w:rFonts w:ascii="仿宋_GB2312" w:hAnsi="仿宋_GB2312" w:cs="仿宋_GB2312" w:eastAsia="仿宋_GB2312"/>
                <w:sz w:val="24"/>
                <w:color w:val="000000"/>
              </w:rPr>
              <w:t>一年。</w:t>
            </w:r>
          </w:p>
          <w:p>
            <w:pPr>
              <w:pStyle w:val="null5"/>
              <w:ind w:firstLine="482"/>
              <w:jc w:val="left"/>
            </w:pPr>
            <w:r>
              <w:rPr>
                <w:rFonts w:ascii="仿宋_GB2312" w:hAnsi="仿宋_GB2312" w:cs="仿宋_GB2312" w:eastAsia="仿宋_GB2312"/>
                <w:sz w:val="24"/>
                <w:b/>
                <w:color w:val="000000"/>
              </w:rPr>
              <w:t>七、付款方式：</w:t>
            </w:r>
            <w:r>
              <w:rPr>
                <w:rFonts w:ascii="仿宋_GB2312" w:hAnsi="仿宋_GB2312" w:cs="仿宋_GB2312" w:eastAsia="仿宋_GB2312"/>
                <w:sz w:val="24"/>
                <w:color w:val="000000"/>
              </w:rPr>
              <w:t>合同签定后，</w:t>
            </w:r>
            <w:r>
              <w:rPr>
                <w:rFonts w:ascii="仿宋_GB2312" w:hAnsi="仿宋_GB2312" w:cs="仿宋_GB2312" w:eastAsia="仿宋_GB2312"/>
                <w:sz w:val="24"/>
                <w:color w:val="000000"/>
              </w:rPr>
              <w:t>7</w:t>
            </w:r>
            <w:r>
              <w:rPr>
                <w:rFonts w:ascii="仿宋_GB2312" w:hAnsi="仿宋_GB2312" w:cs="仿宋_GB2312" w:eastAsia="仿宋_GB2312"/>
                <w:sz w:val="24"/>
                <w:color w:val="000000"/>
              </w:rPr>
              <w:t>日自然日内甲方</w:t>
            </w:r>
            <w:r>
              <w:rPr>
                <w:rFonts w:ascii="仿宋_GB2312" w:hAnsi="仿宋_GB2312" w:cs="仿宋_GB2312" w:eastAsia="仿宋_GB2312"/>
                <w:sz w:val="24"/>
                <w:color w:val="000000"/>
              </w:rPr>
              <w:t>预付</w:t>
            </w:r>
            <w:r>
              <w:rPr>
                <w:rFonts w:ascii="仿宋_GB2312" w:hAnsi="仿宋_GB2312" w:cs="仿宋_GB2312" w:eastAsia="仿宋_GB2312"/>
                <w:sz w:val="24"/>
                <w:color w:val="000000"/>
              </w:rPr>
              <w:t>合同总金额的</w:t>
            </w:r>
            <w:r>
              <w:rPr>
                <w:rFonts w:ascii="仿宋_GB2312" w:hAnsi="仿宋_GB2312" w:cs="仿宋_GB2312" w:eastAsia="仿宋_GB2312"/>
                <w:sz w:val="24"/>
                <w:color w:val="000000"/>
              </w:rPr>
              <w:t>30</w:t>
            </w:r>
            <w:r>
              <w:rPr>
                <w:rFonts w:ascii="仿宋_GB2312" w:hAnsi="仿宋_GB2312" w:cs="仿宋_GB2312" w:eastAsia="仿宋_GB2312"/>
                <w:sz w:val="24"/>
                <w:color w:val="000000"/>
              </w:rPr>
              <w:t>%；第3个月支付30%，</w:t>
            </w:r>
            <w:r>
              <w:rPr>
                <w:rFonts w:ascii="仿宋_GB2312" w:hAnsi="仿宋_GB2312" w:cs="仿宋_GB2312" w:eastAsia="仿宋_GB2312"/>
                <w:sz w:val="24"/>
                <w:color w:val="000000"/>
              </w:rPr>
              <w:t>项目验收合格后</w:t>
            </w:r>
            <w:r>
              <w:rPr>
                <w:rFonts w:ascii="仿宋_GB2312" w:hAnsi="仿宋_GB2312" w:cs="仿宋_GB2312" w:eastAsia="仿宋_GB2312"/>
                <w:sz w:val="24"/>
                <w:color w:val="000000"/>
              </w:rPr>
              <w:t>支付</w:t>
            </w:r>
            <w:r>
              <w:rPr>
                <w:rFonts w:ascii="仿宋_GB2312" w:hAnsi="仿宋_GB2312" w:cs="仿宋_GB2312" w:eastAsia="仿宋_GB2312"/>
                <w:sz w:val="24"/>
                <w:color w:val="000000"/>
              </w:rPr>
              <w:t>4</w:t>
            </w:r>
            <w:r>
              <w:rPr>
                <w:rFonts w:ascii="仿宋_GB2312" w:hAnsi="仿宋_GB2312" w:cs="仿宋_GB2312" w:eastAsia="仿宋_GB2312"/>
                <w:sz w:val="24"/>
                <w:color w:val="000000"/>
              </w:rPr>
              <w:t>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标的名称：通辽经济技术开发区政务服务中心综合窗口外包服务项目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2"/>
              <w:jc w:val="left"/>
            </w:pPr>
            <w:r>
              <w:rPr>
                <w:rFonts w:ascii="仿宋_GB2312" w:hAnsi="仿宋_GB2312" w:cs="仿宋_GB2312" w:eastAsia="仿宋_GB2312"/>
                <w:sz w:val="24"/>
                <w:b/>
                <w:color w:val="000000"/>
              </w:rPr>
              <w:t>服务要求：</w:t>
            </w:r>
          </w:p>
          <w:p>
            <w:pPr>
              <w:pStyle w:val="null5"/>
              <w:ind w:firstLine="480"/>
              <w:jc w:val="left"/>
            </w:pPr>
            <w:r>
              <w:rPr>
                <w:rFonts w:ascii="仿宋_GB2312" w:hAnsi="仿宋_GB2312" w:cs="仿宋_GB2312" w:eastAsia="仿宋_GB2312"/>
                <w:sz w:val="24"/>
                <w:color w:val="000000"/>
              </w:rPr>
              <w:t>1. 22周岁以上、40周岁以下。具备专科及以上学历。当地常驻人口。具有政务服务工作经验、具备一定外语基础、</w:t>
            </w:r>
            <w:r>
              <w:rPr>
                <w:rFonts w:ascii="仿宋_GB2312" w:hAnsi="仿宋_GB2312" w:cs="仿宋_GB2312" w:eastAsia="仿宋_GB2312"/>
                <w:sz w:val="24"/>
                <w:color w:val="000000"/>
              </w:rPr>
              <w:t>计算机专业</w:t>
            </w:r>
            <w:r>
              <w:rPr>
                <w:rFonts w:ascii="仿宋_GB2312" w:hAnsi="仿宋_GB2312" w:cs="仿宋_GB2312" w:eastAsia="仿宋_GB2312"/>
                <w:sz w:val="24"/>
                <w:color w:val="000000"/>
              </w:rPr>
              <w:t>及中共党员可优先考虑。</w:t>
            </w:r>
          </w:p>
          <w:p>
            <w:pPr>
              <w:pStyle w:val="null5"/>
              <w:ind w:firstLine="480"/>
              <w:jc w:val="left"/>
            </w:pPr>
            <w:r>
              <w:rPr>
                <w:rFonts w:ascii="仿宋_GB2312" w:hAnsi="仿宋_GB2312" w:cs="仿宋_GB2312" w:eastAsia="仿宋_GB2312"/>
                <w:sz w:val="24"/>
                <w:color w:val="000000"/>
              </w:rPr>
              <w:t>2. 身体健康、品行良好，工作积极主动，具备较好的沟通能力、语言表达能力和综合协调能力，纪律观念和保密观念较强。</w:t>
            </w:r>
          </w:p>
          <w:p>
            <w:pPr>
              <w:pStyle w:val="null5"/>
              <w:ind w:firstLine="480"/>
              <w:jc w:val="left"/>
            </w:pPr>
            <w:r>
              <w:rPr>
                <w:rFonts w:ascii="仿宋_GB2312" w:hAnsi="仿宋_GB2312" w:cs="仿宋_GB2312" w:eastAsia="仿宋_GB2312"/>
                <w:sz w:val="24"/>
                <w:color w:val="000000"/>
              </w:rPr>
              <w:t>3. 性格开朗，善于接受新鲜事物，具备较好的学习能力和抗压能力，具备较好的服务意识、合作精神和奉献精神。</w:t>
            </w:r>
          </w:p>
          <w:p>
            <w:pPr>
              <w:pStyle w:val="null5"/>
              <w:ind w:firstLine="480"/>
              <w:jc w:val="left"/>
            </w:pPr>
            <w:r>
              <w:rPr>
                <w:rFonts w:ascii="仿宋_GB2312" w:hAnsi="仿宋_GB2312" w:cs="仿宋_GB2312" w:eastAsia="仿宋_GB2312"/>
                <w:sz w:val="24"/>
                <w:color w:val="000000"/>
              </w:rPr>
              <w:t>4.人员招聘工作由第三方服务机构负责，严把入口关。从岗位需求研究、发布招聘公告、组织笔试面试、体检政审、岗前培训、试岗轮训、上岗试用，每一环节都严格标准，狠抓落实，从入口上确保员工综合素质。</w:t>
            </w:r>
          </w:p>
          <w:p>
            <w:pPr>
              <w:pStyle w:val="null5"/>
              <w:jc w:val="left"/>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未被列入失信被执行人、重大税收违法案件当事人名单、政府采购严重违法失信行为记录名单的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未被列入失信被执行人、重大税收违法案件当事人名单、政府采购严重违法失信行为记录名单的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未被列入失信被执行人、重大税收违法案件当事人名单、政府采购严重违法失信行为记录名单的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未被列入失信被执行人、重大税收违法案件当事人名单、政府采购严重违法失信行为记录名单的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未被列入失信被执行人、重大税收违法案件当事人名单、政府采购严重违法失信行为记录名单的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项目需求分析</w:t>
            </w:r>
          </w:p>
        </w:tc>
        <w:tc>
          <w:tcPr>
            <w:tcW w:type="dxa" w:w="3115"/>
          </w:tcPr>
          <w:p>
            <w:pPr>
              <w:pStyle w:val="null5"/>
              <w:jc w:val="left"/>
            </w:pPr>
            <w:r>
              <w:rPr>
                <w:rFonts w:ascii="仿宋_GB2312" w:hAnsi="仿宋_GB2312" w:cs="仿宋_GB2312" w:eastAsia="仿宋_GB2312"/>
              </w:rPr>
              <w:t>根据投标人对本项目的需求理解与重难点分析进行打分：投标人对本项目 需求理解准确，针对性强，对重难点分析到位的得5-6分；对本项目业务 需求理解较为准确，针对性较强，对项目的重难点分析比较到位的得3-4分；对本项目需求理解有一定针对性，对重难点分析基本到位的得1-2 分；表述粗略不清、不可行或不提供的不得分。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政务服务一体化解决方案</w:t>
            </w:r>
          </w:p>
        </w:tc>
        <w:tc>
          <w:tcPr>
            <w:tcW w:type="dxa" w:w="3115"/>
          </w:tcPr>
          <w:p>
            <w:pPr>
              <w:pStyle w:val="null5"/>
              <w:jc w:val="left"/>
            </w:pPr>
            <w:r>
              <w:rPr>
                <w:rFonts w:ascii="仿宋_GB2312" w:hAnsi="仿宋_GB2312" w:cs="仿宋_GB2312" w:eastAsia="仿宋_GB2312"/>
              </w:rPr>
              <w:t>根据投标人提供的整体方案（包含改革分析咨询、夯实基础建设，提升政务服务中心标准化水平、一体化培训、拓宽宣传渠道，打造政务服务影响力矩阵、一窗受理业务流程再造等内容）进行打分：服务方案内容专业、全面、科学合理、资料详尽充分得5-6分；服务方案内容比较周到、资料比较充分，整体比较有针对性且合理可行得3-4分；服务方案内容基本细致、资料基本充分，整体基本有针对性得1-2分；表述粗略不清、不可行或不提供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运行服务方案</w:t>
            </w:r>
          </w:p>
        </w:tc>
        <w:tc>
          <w:tcPr>
            <w:tcW w:type="dxa" w:w="3115"/>
          </w:tcPr>
          <w:p>
            <w:pPr>
              <w:pStyle w:val="null5"/>
              <w:jc w:val="left"/>
            </w:pPr>
            <w:r>
              <w:rPr>
                <w:rFonts w:ascii="仿宋_GB2312" w:hAnsi="仿宋_GB2312" w:cs="仿宋_GB2312" w:eastAsia="仿宋_GB2312"/>
              </w:rPr>
              <w:t>根据投标人提供的服务方案进行打分，应包含标准化管理(业务标准化、人员标准化、现场管理标准化等）、数字化运营体系有关内容：服务方案内容周到细致、资料详尽充分，整体针对性强且科学合理可行得16-27分；服务方案内容比较周到、 资料比较充分，整体比较有针对性且合理可行得7-15分；服务方案内容基 本细致、资料基本充分，整体基本有针对性得1-6分；表述粗略不清、不 可行或不提供的不得分。</w:t>
            </w:r>
          </w:p>
        </w:tc>
        <w:tc>
          <w:tcPr>
            <w:tcW w:type="dxa" w:w="1038"/>
          </w:tcPr>
          <w:p>
            <w:pPr>
              <w:pStyle w:val="null5"/>
              <w:jc w:val="right"/>
            </w:pPr>
            <w:r>
              <w:rPr>
                <w:rFonts w:ascii="仿宋_GB2312" w:hAnsi="仿宋_GB2312" w:cs="仿宋_GB2312" w:eastAsia="仿宋_GB2312"/>
              </w:rPr>
              <w:t>27.00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政务宣传推广方案</w:t>
            </w:r>
          </w:p>
        </w:tc>
        <w:tc>
          <w:tcPr>
            <w:tcW w:type="dxa" w:w="3115"/>
          </w:tcPr>
          <w:p>
            <w:pPr>
              <w:pStyle w:val="null5"/>
              <w:jc w:val="left"/>
            </w:pPr>
            <w:r>
              <w:rPr>
                <w:rFonts w:ascii="仿宋_GB2312" w:hAnsi="仿宋_GB2312" w:cs="仿宋_GB2312" w:eastAsia="仿宋_GB2312"/>
              </w:rPr>
              <w:t>提供了针对本项目特点制定完善的政务宣传推广方案，包括但不限于推广 方式、开展计划、执行策略、案例成果等方面。 方案明确描述清晰，各项 阐述内容完善、合理、切实可行的得5-6分；方案满足需求，各项阐述内容较完善、基本合理、基本可行的得3-4分；方案有基本的项目分析，各项内容有基本阐述，可以实施的得1-2分；未提供不得分。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管理制度</w:t>
            </w:r>
          </w:p>
        </w:tc>
        <w:tc>
          <w:tcPr>
            <w:tcW w:type="dxa" w:w="3115"/>
          </w:tcPr>
          <w:p>
            <w:pPr>
              <w:pStyle w:val="null5"/>
              <w:jc w:val="left"/>
            </w:pPr>
            <w:r>
              <w:rPr>
                <w:rFonts w:ascii="仿宋_GB2312" w:hAnsi="仿宋_GB2312" w:cs="仿宋_GB2312" w:eastAsia="仿宋_GB2312"/>
              </w:rPr>
              <w:t>根据投标人提供的企业管理制度、财务管理制度、人事管理制度是否健全 进行打分：制度编制合理、内容全面完整且符合本项目特点，科学合理可行得4-5分，制度编制基本合理、内容基本完整，基本合理可行得2-3分，制度编制较合理、内容较完整较可行得1分，表述粗略不清、不可行或不提供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信息化管理方案</w:t>
            </w:r>
          </w:p>
        </w:tc>
        <w:tc>
          <w:tcPr>
            <w:tcW w:type="dxa" w:w="3115"/>
          </w:tcPr>
          <w:p>
            <w:pPr>
              <w:pStyle w:val="null5"/>
              <w:jc w:val="left"/>
            </w:pPr>
            <w:r>
              <w:rPr>
                <w:rFonts w:ascii="仿宋_GB2312" w:hAnsi="仿宋_GB2312" w:cs="仿宋_GB2312" w:eastAsia="仿宋_GB2312"/>
              </w:rPr>
              <w:t>根据投标人提供的信息化管理方案进行打分，方案应包含服务理念、信息化管理内容（包括不限于标准化管理、数据整合）。 方案明确描述清晰，各项阐述内容完善、合理、切实可行得4-5分；方案满足需求，各项阐述内容较完善、基本合理、基本可行的得2-3分；方案有基本的项目分析，各项内容有基本阐述，可以实施的得1分；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对突发性事件的应急措施</w:t>
            </w:r>
          </w:p>
        </w:tc>
        <w:tc>
          <w:tcPr>
            <w:tcW w:type="dxa" w:w="3115"/>
          </w:tcPr>
          <w:p>
            <w:pPr>
              <w:pStyle w:val="null5"/>
              <w:jc w:val="left"/>
            </w:pPr>
            <w:r>
              <w:rPr>
                <w:rFonts w:ascii="仿宋_GB2312" w:hAnsi="仿宋_GB2312" w:cs="仿宋_GB2312" w:eastAsia="仿宋_GB2312"/>
              </w:rPr>
              <w:t>根据投标人针对突发应急情况是否能及时制定科学有效的服务方案并快速响应进行打分，服务方案科学合理可行并快速响应得4-5分；服务方案较 科学较合理较可行但响应时间过长得2-3分；服务方案基本科学合理可行得1分，表述粗略不清、不可行或不提供的不得分。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员工成长规划方案</w:t>
            </w:r>
          </w:p>
        </w:tc>
        <w:tc>
          <w:tcPr>
            <w:tcW w:type="dxa" w:w="3115"/>
          </w:tcPr>
          <w:p>
            <w:pPr>
              <w:pStyle w:val="null5"/>
              <w:jc w:val="left"/>
            </w:pPr>
            <w:r>
              <w:rPr>
                <w:rFonts w:ascii="仿宋_GB2312" w:hAnsi="仿宋_GB2312" w:cs="仿宋_GB2312" w:eastAsia="仿宋_GB2312"/>
              </w:rPr>
              <w:t>根据投标人提供的员工成长规划方案，包括但不限于职业发展规划、技能提升计划、领导力培养、团队协作能力培养、绩效评估反馈等。总体科学合理可行，能够完全满足项目用人要求得3-5分；招聘方案简单、通用的招聘方案，得2-1分；方案有缺陷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拟投入本项目人员</w:t>
            </w:r>
          </w:p>
        </w:tc>
        <w:tc>
          <w:tcPr>
            <w:tcW w:type="dxa" w:w="3115"/>
          </w:tcPr>
          <w:p>
            <w:pPr>
              <w:pStyle w:val="null5"/>
              <w:jc w:val="left"/>
            </w:pPr>
            <w:r>
              <w:rPr>
                <w:rFonts w:ascii="仿宋_GB2312" w:hAnsi="仿宋_GB2312" w:cs="仿宋_GB2312" w:eastAsia="仿宋_GB2312"/>
              </w:rPr>
              <w:t>1.拟投入本项目人员中有具有行政办事员（政务服务综合窗口办事员）职 业技术水平证书，有一个的得1分，最多6分。 2.拟派的项目负责人具备高级人力资源管理师（ 一级）证书得3分，具备中级人力资源管理师证书(二级）每提供一项得2分，具备助理人力资源管理师证书（初级）每提供一项得1分，最高得3分；未提供不得分。（提供相关证书证明材料扫描件,否则不得分）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同类业绩</w:t>
            </w:r>
          </w:p>
        </w:tc>
        <w:tc>
          <w:tcPr>
            <w:tcW w:type="dxa" w:w="3115"/>
          </w:tcPr>
          <w:p>
            <w:pPr>
              <w:pStyle w:val="null5"/>
              <w:jc w:val="left"/>
            </w:pPr>
            <w:r>
              <w:rPr>
                <w:rFonts w:ascii="仿宋_GB2312" w:hAnsi="仿宋_GB2312" w:cs="仿宋_GB2312" w:eastAsia="仿宋_GB2312"/>
              </w:rPr>
              <w:t>供应商提供近三年（2021年12月01日至投标截止时间）同类服务业绩。 每提供一份得1分，最多可得5分； 注：响应文件中需提供服务合同和中 标通知书原件扫描件，时间以合同签订时间时间为准。未提供或证明材料不全的不得分。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履约评价</w:t>
            </w:r>
          </w:p>
        </w:tc>
        <w:tc>
          <w:tcPr>
            <w:tcW w:type="dxa" w:w="3115"/>
          </w:tcPr>
          <w:p>
            <w:pPr>
              <w:pStyle w:val="null5"/>
              <w:jc w:val="left"/>
            </w:pPr>
            <w:r>
              <w:rPr>
                <w:rFonts w:ascii="仿宋_GB2312" w:hAnsi="仿宋_GB2312" w:cs="仿宋_GB2312" w:eastAsia="仿宋_GB2312"/>
              </w:rPr>
              <w:t>根据上述服务经验，供应商提供近三年（2021年10月01日至投标截止时间）得到采购人好评或积极正面的评价，每提供一份得1分，最高得6分。 提供业绩采购甲方出具的盖章文件原件扫描件。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企业体系认证</w:t>
            </w:r>
          </w:p>
        </w:tc>
        <w:tc>
          <w:tcPr>
            <w:tcW w:type="dxa" w:w="3115"/>
          </w:tcPr>
          <w:p>
            <w:pPr>
              <w:pStyle w:val="null5"/>
              <w:jc w:val="left"/>
            </w:pPr>
            <w:r>
              <w:rPr>
                <w:rFonts w:ascii="仿宋_GB2312" w:hAnsi="仿宋_GB2312" w:cs="仿宋_GB2312" w:eastAsia="仿宋_GB2312"/>
              </w:rPr>
              <w:t>1.投标人具备有效期内的质量管理体系认证、环境管理体系认证、职业健康安全管理体系认证，且证书服务范围包含人力资源服务，提供相关证书原件扫描件。三证齐全得3分，缺一项不得分。 2.投标人具备自行开发的计算机软著证书，每提供一份得1分，本项最高得2分。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