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eastAsia="zh-CN"/>
        </w:rPr>
        <w:t>附件：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>鄂尔多斯市第三中学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物业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eastAsia="zh-CN"/>
        </w:rPr>
        <w:t>服务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考核办法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采购人按本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物业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服务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考核办法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进行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按月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实际考核，同时参照以下付费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原则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向中标人支付物业费，续签或终止下一年物业服务合同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物业服务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考核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标准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满分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100分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，按照下表考核内容采取扣分制原则进行考核，以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85分为合格基准分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）采购人每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按照物业服务考核办法对中标人提供的物业管理服务进行综合考核，若最终考核结果得分在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85分以上（含85分）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，则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全额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向中标人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支付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当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物业费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若最终考核结果得分在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75-84分时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，则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低于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合格基准分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1分扣除该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物业服务费总额0.25%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；若最终考核结果得分在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65-74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时，则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低于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合格基准分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1分扣除该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物业服务费总额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0.5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%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；若最终考核结果得分在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以下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（含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分）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时，采购人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有权单方面解除物业服务合同。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中标人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考核评比得分低于85分的，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由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甲方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出具书面的整改单，要求中标人限期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整改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；若年底的考核结果平均分高于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（含）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85分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，则继续以中标金额与中标人签订下一年物业服务合同，若年底的考核结果平均分低于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分，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甲方有权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要求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终止合同，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同时要求中标人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承担违约责任和赔偿责任。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（4）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本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考核办法其他未尽事宜由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采购人及中标人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双方共同协商。</w:t>
      </w:r>
    </w:p>
    <w:tbl>
      <w:tblPr>
        <w:tblStyle w:val="2"/>
        <w:tblW w:w="10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75"/>
        <w:gridCol w:w="897"/>
        <w:gridCol w:w="1000"/>
        <w:gridCol w:w="6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  <w:t>序号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  <w:t>考核项目</w:t>
            </w:r>
          </w:p>
        </w:tc>
        <w:tc>
          <w:tcPr>
            <w:tcW w:w="7621" w:type="dxa"/>
            <w:gridSpan w:val="2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考核标准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  <w:t>一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管理指标落实情况</w:t>
            </w:r>
          </w:p>
        </w:tc>
        <w:tc>
          <w:tcPr>
            <w:tcW w:w="7621" w:type="dxa"/>
            <w:gridSpan w:val="2"/>
            <w:vAlign w:val="center"/>
          </w:tcPr>
          <w:p>
            <w:p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“四定”（定服务范围、定人员、定岗、定职责）方案明确，人员落实，时间落实，有日检查记录。未落实或不合格每一项扣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二</w:t>
            </w:r>
          </w:p>
        </w:tc>
        <w:tc>
          <w:tcPr>
            <w:tcW w:w="959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保洁部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考核标准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  <w:t>1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楼道清洁</w:t>
            </w:r>
          </w:p>
        </w:tc>
        <w:tc>
          <w:tcPr>
            <w:tcW w:w="762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无杂物、无黑尘、无蜘蛛网、无乱贴广告、无乱堆放，挂墙设施、扶手无尘，地面无拖痕。每发现一处不合格扣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  <w:t>2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公用厕所清洁</w:t>
            </w:r>
          </w:p>
        </w:tc>
        <w:tc>
          <w:tcPr>
            <w:tcW w:w="762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无杂物、无黑尘、无蜘蛛网、无乱贴广告、无乱堆放，挂墙设施、扶手无尘，地面无拖痕、无异味。每发现一处不合格扣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  <w:t>3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室内保洁</w:t>
            </w:r>
          </w:p>
        </w:tc>
        <w:tc>
          <w:tcPr>
            <w:tcW w:w="762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无杂物、无灰尘、干净整洁。每发现一处不合格扣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  <w:t>4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楼梯扶手、栏杆的清洁</w:t>
            </w:r>
          </w:p>
        </w:tc>
        <w:tc>
          <w:tcPr>
            <w:tcW w:w="762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无黑尘、无污迹、无蜘蛛网、无死角、死皮。每发现一处不合格扣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大厅清洁</w:t>
            </w:r>
          </w:p>
        </w:tc>
        <w:tc>
          <w:tcPr>
            <w:tcW w:w="762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无垃圾杂物、无泥沙、无污渍、无黑尘、无死角、无拖痕、无卫生死角。每发现一处不合格扣1分。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  <w:t>6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墙面、开关按钮清洁</w:t>
            </w:r>
          </w:p>
        </w:tc>
        <w:tc>
          <w:tcPr>
            <w:tcW w:w="762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无广告纸、无蜘蛛网、无积尘、无污迹等。每发现一处不合格扣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  <w:t>7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门、信报箱清洁</w:t>
            </w:r>
          </w:p>
        </w:tc>
        <w:tc>
          <w:tcPr>
            <w:tcW w:w="762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无黑尘、无污迹等。每发现一处不合格扣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  <w:t>8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消防栓、消防管道、配电箱等清洁</w:t>
            </w:r>
          </w:p>
        </w:tc>
        <w:tc>
          <w:tcPr>
            <w:tcW w:w="762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无蜘蛛网、无积尘、无污迹等。每发现一处不合格扣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  <w:t>9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玻璃清洁</w:t>
            </w:r>
          </w:p>
        </w:tc>
        <w:tc>
          <w:tcPr>
            <w:tcW w:w="762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玻璃无灰尘，无污渍，保持明亮洁净。每发现一处不合格扣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  <w:t>10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灯具清洁</w:t>
            </w:r>
          </w:p>
        </w:tc>
        <w:tc>
          <w:tcPr>
            <w:tcW w:w="762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灯具、灯管无灰尘，灯具内无蚊虫，灯盖、灯罩无蜘蛛网，保持明亮洁净。每发现一处不合格扣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  <w:t>11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宣传栏、标识牌不锈钢表面清洁</w:t>
            </w:r>
          </w:p>
        </w:tc>
        <w:tc>
          <w:tcPr>
            <w:tcW w:w="762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宣传栏、标识牌无污迹、无斑点、无积尘，表面光亮可映出人形。每发现一处不合格扣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  <w:t>12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天面、平台清洁</w:t>
            </w:r>
          </w:p>
        </w:tc>
        <w:tc>
          <w:tcPr>
            <w:tcW w:w="762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无垃圾、无积水、无死皮青苔、无杂物、无堵塞。每发现一处不合格扣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  <w:t>13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自行车棚（房）、停车场清洁</w:t>
            </w:r>
          </w:p>
        </w:tc>
        <w:tc>
          <w:tcPr>
            <w:tcW w:w="762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无垃圾、果皮、纸屑、杂物、灰尘、积水，自行车摆放整齐，汽车停放有序 。每发现一处不合格扣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  <w:t>14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公共场地和马路的清洁</w:t>
            </w:r>
          </w:p>
        </w:tc>
        <w:tc>
          <w:tcPr>
            <w:tcW w:w="762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无泥沙、无垃圾杂物、无积水、无污迹、无死角、无杂草。每发现一处不合格扣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  <w:t>15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垃圾箱、垃圾桶的清洁</w:t>
            </w:r>
          </w:p>
        </w:tc>
        <w:tc>
          <w:tcPr>
            <w:tcW w:w="762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无滴水、无蚊虫孳生、无异味、无污迹、无张帖广告，日清洁达95%以上。每发现一处不合格扣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  <w:t>16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排水沟、排污管、污水井、楼宇内消杀</w:t>
            </w:r>
          </w:p>
        </w:tc>
        <w:tc>
          <w:tcPr>
            <w:tcW w:w="762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少蚊、蝇、蟑螂，无鼠，消杀率达95%以上。每发现一处不合格扣1分。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  <w:t>17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建筑物楼顶</w:t>
            </w:r>
          </w:p>
        </w:tc>
        <w:tc>
          <w:tcPr>
            <w:tcW w:w="762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无积水，无堵塞。每发现一处不合格扣1分。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  <w:t>18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保洁部人员素质</w:t>
            </w:r>
          </w:p>
        </w:tc>
        <w:tc>
          <w:tcPr>
            <w:tcW w:w="762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保洁员年龄须55周岁以下，须身体健康，责任心强，五官端正，体态良好，接受过保洁或相关训练，掌握基本保洁的技能，熟悉有关法律法规，思想品质好，作风正派，无不良记录。不得无故离岗、缺岗、串岗，每发现一处不合格扣1分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（长期缺岗，或年龄不符合规定的，每天扣1分，直至岗位人员符合规定为止）。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  <w:t>三</w:t>
            </w:r>
          </w:p>
        </w:tc>
        <w:tc>
          <w:tcPr>
            <w:tcW w:w="9593" w:type="dxa"/>
            <w:gridSpan w:val="4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</w:rPr>
              <w:t>秩序维护部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考核标准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  <w:t>1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秩序维护部人员素质</w:t>
            </w:r>
          </w:p>
        </w:tc>
        <w:tc>
          <w:tcPr>
            <w:tcW w:w="7621" w:type="dxa"/>
            <w:gridSpan w:val="2"/>
            <w:vAlign w:val="center"/>
          </w:tcPr>
          <w:p>
            <w:p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体貌端正，身体健康,着装配饰干净、整齐，行为（坐、立姿、工作）端庄得体。</w:t>
            </w:r>
          </w:p>
          <w:p>
            <w:p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安全保卫人员年龄必须50周岁以下，身体健康，责任心强，五官端正，体态良好，接受过安全保卫或相关训练，掌握基本安全保卫技能，熟悉有关法律法规，思想品质好，作风正派，无不良记录。不得无故缺岗、串岗，不得一挑多职，每发现一处不合格扣1分。（长期缺岗，或年龄不符合规定的，每天扣1分，直至岗位人员符合规定为止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  <w:t>2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岗位卫生</w:t>
            </w:r>
          </w:p>
        </w:tc>
        <w:tc>
          <w:tcPr>
            <w:tcW w:w="762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岗位环境整齐、干净、美观。每发现一处不合格扣1分。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  <w:t>3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服务礼仪</w:t>
            </w:r>
          </w:p>
        </w:tc>
        <w:tc>
          <w:tcPr>
            <w:tcW w:w="762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服务有耐心，态度好，文明用语得当。每发现一处不合格扣1分。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  <w:t>4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岗位坚守</w:t>
            </w:r>
          </w:p>
        </w:tc>
        <w:tc>
          <w:tcPr>
            <w:tcW w:w="762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在工作时间内不脱岗、不睡岗、认真负责、热情出岗服务。每发现一处不合格扣1分。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巡查岗位</w:t>
            </w:r>
          </w:p>
        </w:tc>
        <w:tc>
          <w:tcPr>
            <w:tcW w:w="762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能保证校区安全秩序，阻止闲杂人员在校内乱窜、能排除安全隐患的。每发现一处不合格扣1分。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  <w:t>6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外来人员及车辆管理</w:t>
            </w:r>
          </w:p>
        </w:tc>
        <w:tc>
          <w:tcPr>
            <w:tcW w:w="762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对于外来人员要做好问询登记，禁止私自放行陌生人进入校园；对于外来拜访人员需进一步现场核实情况是否属实；对于外来车辆或无通行证车辆禁止驶入校园，不得私自放行外来车辆进入，特殊情况需进行现场核实，待校领导同意后方可放行；如服务人员私自放行，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每发现一处不合格扣1分。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消控管理</w:t>
            </w:r>
          </w:p>
        </w:tc>
        <w:tc>
          <w:tcPr>
            <w:tcW w:w="762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确保消防设施及时巡查，及时建立相关管理档案，有效实施管控。每发现一处不合格扣1分。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  <w:t>四</w:t>
            </w:r>
          </w:p>
        </w:tc>
        <w:tc>
          <w:tcPr>
            <w:tcW w:w="959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工程部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考核标准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85" w:type="dxa"/>
            <w:vMerge w:val="restart"/>
            <w:vAlign w:val="center"/>
          </w:tcPr>
          <w:p>
            <w:p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  <w:t>1.</w:t>
            </w:r>
          </w:p>
        </w:tc>
        <w:tc>
          <w:tcPr>
            <w:tcW w:w="1075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房屋非本体建筑日常养护维修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1、校舍围墙维修</w:t>
            </w:r>
          </w:p>
        </w:tc>
        <w:tc>
          <w:tcPr>
            <w:tcW w:w="6621" w:type="dxa"/>
            <w:vMerge w:val="restart"/>
            <w:vAlign w:val="center"/>
          </w:tcPr>
          <w:p>
            <w:p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校园内外墙面、天花板、门窗的完好和正常使用；及时完成各项零星维修任务。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每发现一处不合格扣1分。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2．门窗养护维修</w:t>
            </w:r>
          </w:p>
        </w:tc>
        <w:tc>
          <w:tcPr>
            <w:tcW w:w="6621" w:type="dxa"/>
            <w:vMerge w:val="continue"/>
            <w:vAlign w:val="center"/>
          </w:tcPr>
          <w:p>
            <w:p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3．墙台面及天花板养护维修</w:t>
            </w:r>
          </w:p>
        </w:tc>
        <w:tc>
          <w:tcPr>
            <w:tcW w:w="6621" w:type="dxa"/>
            <w:vMerge w:val="continue"/>
            <w:vAlign w:val="center"/>
          </w:tcPr>
          <w:p>
            <w:p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  <w:t>4、学校内道路养护维修</w:t>
            </w:r>
          </w:p>
        </w:tc>
        <w:tc>
          <w:tcPr>
            <w:tcW w:w="6621" w:type="dxa"/>
            <w:vMerge w:val="continue"/>
            <w:vAlign w:val="center"/>
          </w:tcPr>
          <w:p>
            <w:p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  <w:t>2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给排水设备运行维护管理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给排水管道养护维修</w:t>
            </w:r>
          </w:p>
        </w:tc>
        <w:tc>
          <w:tcPr>
            <w:tcW w:w="6621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保证给排水系统正常运行使用。防止跑、冒、滴、漏。对供水系统管路、水泵、水箱、阀门等进行日常维护和定期检修。定期对水泵房及机电设备进行检查、保养、维修、清洁；定期对排水管进行清通、养护及清除污垢，保证室内外排水系统通畅；及时清理排水井和排水沟渠淤泥、杂物。及时发现并解决故障。每发现一处不合格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  <w:jc w:val="center"/>
        </w:trPr>
        <w:tc>
          <w:tcPr>
            <w:tcW w:w="885" w:type="dxa"/>
            <w:vMerge w:val="restart"/>
            <w:vAlign w:val="center"/>
          </w:tcPr>
          <w:p>
            <w:p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</w:p>
          <w:p>
            <w:p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  <w:t>3</w:t>
            </w:r>
          </w:p>
        </w:tc>
        <w:tc>
          <w:tcPr>
            <w:tcW w:w="1075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供配电设备运行维护管理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水泵、水箱、阀门等设备设施养护维修</w:t>
            </w:r>
          </w:p>
        </w:tc>
        <w:tc>
          <w:tcPr>
            <w:tcW w:w="6621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对供电范围内的电气设备定期巡视维护和重点检测，建立各项设备档案（包括电气平面图、设备管理图、接线图等图样），做到安全、合理、节约用电；建立严格的配送电运行制度、电气维修制度和配电房管理制度，供电运行和维修人员必须持证上岗；建立24小时运行维修值班制度，及时排除故障；加强日常维护检修，公共使用的照明灯具、线路、开关保证完好，确保用电安全；每发现一处不合格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室内外照明和效果灯光工程系统维护管理</w:t>
            </w:r>
          </w:p>
        </w:tc>
        <w:tc>
          <w:tcPr>
            <w:tcW w:w="6621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加强日常检查巡视，及时更换灯具光源，确保节日灯光的正常使用；定期检测，发现故障及时维修，小修不过夜。每发现一处不合格扣1分。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日常维修</w:t>
            </w:r>
          </w:p>
        </w:tc>
        <w:tc>
          <w:tcPr>
            <w:tcW w:w="8518" w:type="dxa"/>
            <w:gridSpan w:val="3"/>
            <w:vAlign w:val="center"/>
          </w:tcPr>
          <w:p>
            <w:p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及时检修电气线路；更换门锁；更换灯管、检修开关、插座；修理、更换电表、水表等；修理、更换水阀、水龙头、各类软管等；疏通卫生间及下水管道。未能及时更换维修或更换维修敷衍应付差事，每发现一处不合格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</w:p>
        </w:tc>
        <w:tc>
          <w:tcPr>
            <w:tcW w:w="1972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工程部人员素质</w:t>
            </w:r>
          </w:p>
        </w:tc>
        <w:tc>
          <w:tcPr>
            <w:tcW w:w="7621" w:type="dxa"/>
            <w:gridSpan w:val="2"/>
            <w:vAlign w:val="center"/>
          </w:tcPr>
          <w:p>
            <w:p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工程专业技术人员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：须55周岁以下，要求熟悉强电、弱电等多个专业电力知识、具有供水、供暖维修能力，必须持有相关行业颁发的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上岗作业证或职业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资格证书并具有相关设备的管理履历，不得无故离岗、缺岗、串岗，每发现一处不合格扣1分。（长期缺岗，或年龄不符合规定的，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每天扣1分，直至岗位人员符合规定为止）。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  <w:t>五</w:t>
            </w:r>
          </w:p>
        </w:tc>
        <w:tc>
          <w:tcPr>
            <w:tcW w:w="9593" w:type="dxa"/>
            <w:gridSpan w:val="4"/>
            <w:vAlign w:val="center"/>
          </w:tcPr>
          <w:p>
            <w:pPr>
              <w:spacing w:line="360" w:lineRule="auto"/>
              <w:jc w:val="left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  <w:t>宿管部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考核标准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  <w:t>1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公用走廊</w:t>
            </w:r>
          </w:p>
        </w:tc>
        <w:tc>
          <w:tcPr>
            <w:tcW w:w="762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无污渍、无积水、无垃圾。每发现一处不合格扣1分。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  <w:t>2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墙面</w:t>
            </w:r>
          </w:p>
        </w:tc>
        <w:tc>
          <w:tcPr>
            <w:tcW w:w="762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无明显灰尘及污渍。每发现一处不合格扣1分。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  <w:t>3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楼梯</w:t>
            </w:r>
          </w:p>
        </w:tc>
        <w:tc>
          <w:tcPr>
            <w:tcW w:w="762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检查无痰渍、烟头、香口胶、纸屑。垃圾及蜘蛛网。每发现一处不合格扣1分。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  <w:t>4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公用玻璃、镜面</w:t>
            </w:r>
          </w:p>
        </w:tc>
        <w:tc>
          <w:tcPr>
            <w:tcW w:w="762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质量达至无水渍、污渍、手印、干净明亮。每发现一处不合格扣1分。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室内外排水沟</w:t>
            </w:r>
          </w:p>
        </w:tc>
        <w:tc>
          <w:tcPr>
            <w:tcW w:w="762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抽查20米无泥沙等垃圾、无臭味。每发现一处不合格扣1分。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  <w:t>6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各类标牌、指示牌</w:t>
            </w:r>
          </w:p>
        </w:tc>
        <w:tc>
          <w:tcPr>
            <w:tcW w:w="762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抽查2～3个，无明显灰尘，光亮。每发现一处不合格扣1分。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  <w:t>7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天花板</w:t>
            </w:r>
          </w:p>
        </w:tc>
        <w:tc>
          <w:tcPr>
            <w:tcW w:w="762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抽查天花板50平方米内无蜘蛛网、灰尘、污渍；抽查3～5个风口、灯饰、烟感器无灰尘、蜘蛛网。每发现一处不合格扣1分。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zh-CN"/>
              </w:rPr>
              <w:t>8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宿管部人员素质</w:t>
            </w:r>
          </w:p>
        </w:tc>
        <w:tc>
          <w:tcPr>
            <w:tcW w:w="762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要求高中以上文化程度，责任心强，配合好学生工作部门对学生的管理教育工作要求宿管年龄女50岁以下、男55岁以下，体貌端正，身体健康。不得无故离岗、缺岗、串岗，每发现一处不合格扣1分。（长期缺岗，或年龄不符合规定的，每天扣1分，直至岗位人员符合规定为止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44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宿舍学生管理</w:t>
            </w:r>
          </w:p>
        </w:tc>
        <w:tc>
          <w:tcPr>
            <w:tcW w:w="762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各宿舍楼宿管人员，要严格执行本校德育处制定的学生宿舍管理办法，经发现查实，其违反办法中任意一条，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每发现一处不合格扣1分。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2"/>
                <w:szCs w:val="22"/>
                <w:lang w:val="zh-CN"/>
              </w:rPr>
              <w:t>六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公众监督处理情况</w:t>
            </w:r>
          </w:p>
        </w:tc>
        <w:tc>
          <w:tcPr>
            <w:tcW w:w="7621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有投诉查实有责的每次扣1分；投诉查实未及时改正每次扣2分。重大投诉查实有责的，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根据司法部门最终的鉴定结果，确属中标人责任的，采购人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有权终止合同，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且由中标人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承担违约责任和赔偿责任，并追究其相应法律责任。</w:t>
            </w:r>
          </w:p>
        </w:tc>
      </w:tr>
    </w:tbl>
    <w:p>
      <w:pPr>
        <w:spacing w:line="360" w:lineRule="auto"/>
        <w:jc w:val="center"/>
        <w:rPr>
          <w:rFonts w:hint="default" w:ascii="仿宋" w:hAnsi="仿宋" w:eastAsia="仿宋" w:cs="仿宋"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44"/>
          <w:sz w:val="48"/>
          <w:szCs w:val="48"/>
          <w:lang w:val="en-US" w:eastAsia="zh-CN"/>
        </w:rPr>
        <w:t>绿化及植物园考核细则</w:t>
      </w:r>
    </w:p>
    <w:tbl>
      <w:tblPr>
        <w:tblStyle w:val="2"/>
        <w:tblpPr w:leftFromText="180" w:rightFromText="180" w:vertAnchor="text" w:horzAnchor="margin" w:tblpX="-980" w:tblpY="70"/>
        <w:tblW w:w="10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025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考核项目</w:t>
            </w:r>
          </w:p>
        </w:tc>
        <w:tc>
          <w:tcPr>
            <w:tcW w:w="75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扣分标准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保洁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绿地内有垃圾等杂物</w:t>
            </w:r>
          </w:p>
        </w:tc>
        <w:tc>
          <w:tcPr>
            <w:tcW w:w="7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绿地内有垃圾等杂物一次扣1分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7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绿地内植物的明显落叶、落花影响景观一处扣0.5分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7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绿地内有断枝等一次扣0.5分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防旱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防涝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高温暴雨季节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养护</w:t>
            </w:r>
          </w:p>
        </w:tc>
        <w:tc>
          <w:tcPr>
            <w:tcW w:w="7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多雨季节未做排水导致严重积水  扣1-2分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7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旱季之前未做水围，导致树木严重缺水  扣1-2分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防寒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防冻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寒冷季节由于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养护</w:t>
            </w:r>
          </w:p>
        </w:tc>
        <w:tc>
          <w:tcPr>
            <w:tcW w:w="7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寒冷季节之前未做好防寒防冻措施  扣1-2分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7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寒冷季节由于未进行防寒措施，由此原因死亡树木  扣1-5分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草花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花境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草花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养护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7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草花色彩搭配差，整体效果不好 扣1-2分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7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草花生长稀疏，空秃面积大  扣2-3分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7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草花空秃面积大，生长效果不好，未能及时换新  扣4-5分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内庭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花镜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花境长势</w:t>
            </w:r>
          </w:p>
        </w:tc>
        <w:tc>
          <w:tcPr>
            <w:tcW w:w="7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植物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生长层次混乱，扣1分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7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生长不好，有明显空秃，未能及时补种 扣2-3分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7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植物园池水浑浊、环境差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  扣1-4分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养护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人员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着装和安全意识</w:t>
            </w:r>
          </w:p>
        </w:tc>
        <w:tc>
          <w:tcPr>
            <w:tcW w:w="7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养护人员没有着装工作服、胸卡 一人扣1分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7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执行高大树木修剪人员没有佩带安全带发现一次扣1分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8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人员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要求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养护人员工作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和养护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工作到位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情况</w:t>
            </w:r>
          </w:p>
        </w:tc>
        <w:tc>
          <w:tcPr>
            <w:tcW w:w="7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养护人员出现缺人情况  缺1人扣1分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7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养护人员出现不合格养护人员 每1人扣1分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7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养护人员出现旷工、消极怠工现象  每1人扣1分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7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养护人员上班出现酗酒、吵闹、打扰学生上课的现象  每1人扣2分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53199"/>
    <w:rsid w:val="1BA1332A"/>
    <w:rsid w:val="22A53199"/>
    <w:rsid w:val="2B705840"/>
    <w:rsid w:val="3C946FCF"/>
    <w:rsid w:val="3CFA1BBC"/>
    <w:rsid w:val="51897DC9"/>
    <w:rsid w:val="56862D2D"/>
    <w:rsid w:val="57F55580"/>
    <w:rsid w:val="710A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2021-06-18T07:07:00Z</dcterms:created>
  <dc:creator>Administrator</dc:creator>
  <cp:lastModifiedBy>Ai嗨趣爱鄂尔多斯总代理</cp:lastModifiedBy>
  <cp:lastPrinted>2021-09-01T01:51:00Z</cp:lastPrinted>
  <dcterms:modified xsi:type="dcterms:W3CDTF">2021-09-26T07:48:19Z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99F2C58FF2234CFB9CFB0B30CA1FFA59</vt:lpwstr>
  </property>
</Properties>
</file>