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0C7B604">
      <w:pPr>
        <w:pStyle w:val="5"/>
        <w:widowControl/>
        <w:spacing w:before="180" w:beforeAutospacing="0" w:after="180" w:afterAutospacing="0" w:line="360" w:lineRule="auto"/>
        <w:jc w:val="center"/>
        <w:textAlignment w:val="baseline"/>
        <w:rPr>
          <w:rFonts w:hint="eastAsia" w:asciiTheme="minorEastAsia" w:hAnsiTheme="minorEastAsia" w:eastAsiaTheme="minorEastAsia" w:cstheme="minorEastAsia"/>
          <w:b/>
          <w:bCs/>
          <w:sz w:val="44"/>
          <w:szCs w:val="44"/>
        </w:rPr>
      </w:pPr>
      <w:r>
        <w:rPr>
          <w:rFonts w:hint="eastAsia" w:asciiTheme="minorEastAsia" w:hAnsiTheme="minorEastAsia" w:eastAsiaTheme="minorEastAsia" w:cstheme="minorEastAsia"/>
          <w:b/>
          <w:bCs/>
          <w:sz w:val="44"/>
          <w:szCs w:val="44"/>
        </w:rPr>
        <w:t>编</w:t>
      </w:r>
      <w:r>
        <w:rPr>
          <w:rFonts w:hint="eastAsia" w:asciiTheme="minorEastAsia" w:hAnsiTheme="minorEastAsia" w:cstheme="minorEastAsia"/>
          <w:b/>
          <w:bCs/>
          <w:sz w:val="44"/>
          <w:szCs w:val="44"/>
          <w:lang w:val="en-US" w:eastAsia="zh-CN"/>
        </w:rPr>
        <w:t xml:space="preserve"> </w:t>
      </w:r>
      <w:r>
        <w:rPr>
          <w:rFonts w:hint="eastAsia" w:asciiTheme="minorEastAsia" w:hAnsiTheme="minorEastAsia" w:eastAsiaTheme="minorEastAsia" w:cstheme="minorEastAsia"/>
          <w:b/>
          <w:bCs/>
          <w:sz w:val="44"/>
          <w:szCs w:val="44"/>
        </w:rPr>
        <w:t>制</w:t>
      </w:r>
      <w:r>
        <w:rPr>
          <w:rFonts w:hint="eastAsia" w:asciiTheme="minorEastAsia" w:hAnsiTheme="minorEastAsia" w:cstheme="minorEastAsia"/>
          <w:b/>
          <w:bCs/>
          <w:sz w:val="44"/>
          <w:szCs w:val="44"/>
          <w:lang w:val="en-US" w:eastAsia="zh-CN"/>
        </w:rPr>
        <w:t xml:space="preserve"> </w:t>
      </w:r>
      <w:r>
        <w:rPr>
          <w:rFonts w:hint="eastAsia" w:asciiTheme="minorEastAsia" w:hAnsiTheme="minorEastAsia" w:eastAsiaTheme="minorEastAsia" w:cstheme="minorEastAsia"/>
          <w:b/>
          <w:bCs/>
          <w:sz w:val="44"/>
          <w:szCs w:val="44"/>
        </w:rPr>
        <w:t>说</w:t>
      </w:r>
      <w:r>
        <w:rPr>
          <w:rFonts w:hint="eastAsia" w:asciiTheme="minorEastAsia" w:hAnsiTheme="minorEastAsia" w:cstheme="minorEastAsia"/>
          <w:b/>
          <w:bCs/>
          <w:sz w:val="44"/>
          <w:szCs w:val="44"/>
          <w:lang w:val="en-US" w:eastAsia="zh-CN"/>
        </w:rPr>
        <w:t xml:space="preserve"> </w:t>
      </w:r>
      <w:r>
        <w:rPr>
          <w:rFonts w:hint="eastAsia" w:asciiTheme="minorEastAsia" w:hAnsiTheme="minorEastAsia" w:eastAsiaTheme="minorEastAsia" w:cstheme="minorEastAsia"/>
          <w:b/>
          <w:bCs/>
          <w:sz w:val="44"/>
          <w:szCs w:val="44"/>
        </w:rPr>
        <w:t>明</w:t>
      </w:r>
    </w:p>
    <w:p w14:paraId="1B5FC6E0">
      <w:pPr>
        <w:keepNext w:val="0"/>
        <w:keepLines w:val="0"/>
        <w:widowControl/>
        <w:suppressLineNumbers w:val="0"/>
        <w:jc w:val="both"/>
        <w:rPr>
          <w:rFonts w:hint="eastAsia" w:asciiTheme="minorEastAsia" w:hAnsiTheme="minorEastAsia" w:eastAsiaTheme="minorEastAsia" w:cstheme="minorEastAsia"/>
          <w:sz w:val="32"/>
          <w:szCs w:val="32"/>
        </w:rPr>
      </w:pPr>
      <w:r>
        <w:rPr>
          <w:rFonts w:hint="eastAsia" w:ascii="仿宋_GB2312" w:hAnsi="仿宋_GB2312" w:eastAsia="仿宋_GB2312" w:cs="仿宋_GB2312"/>
          <w:sz w:val="32"/>
          <w:szCs w:val="32"/>
        </w:rPr>
        <w:t>工程名称：</w:t>
      </w:r>
      <w:r>
        <w:rPr>
          <w:rFonts w:hint="eastAsia" w:ascii="仿宋_GB2312" w:hAnsi="仿宋_GB2312" w:eastAsia="仿宋_GB2312" w:cs="仿宋_GB2312"/>
          <w:sz w:val="32"/>
          <w:szCs w:val="32"/>
          <w:lang w:val="en-US" w:eastAsia="zh-CN"/>
        </w:rPr>
        <w:t>L4地块人才公寓室内外改造提升项目-园林绿化工程</w:t>
      </w:r>
    </w:p>
    <w:p w14:paraId="256098B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hint="eastAsia" w:ascii="仿宋_GB2312" w:hAnsi="仿宋_GB2312" w:eastAsia="仿宋_GB2312" w:cs="仿宋_GB2312"/>
          <w:b/>
          <w:bCs/>
          <w:kern w:val="0"/>
          <w:sz w:val="32"/>
          <w:szCs w:val="32"/>
          <w:highlight w:val="none"/>
          <w:lang w:val="en-US" w:eastAsia="zh-CN" w:bidi="ar"/>
        </w:rPr>
      </w:pPr>
      <w:r>
        <w:rPr>
          <w:rFonts w:hint="eastAsia" w:ascii="仿宋_GB2312" w:hAnsi="仿宋_GB2312" w:eastAsia="仿宋_GB2312" w:cs="仿宋_GB2312"/>
          <w:b/>
          <w:bCs/>
          <w:kern w:val="0"/>
          <w:sz w:val="32"/>
          <w:szCs w:val="32"/>
          <w:highlight w:val="none"/>
          <w:lang w:val="en-US" w:eastAsia="zh-CN" w:bidi="ar"/>
        </w:rPr>
        <w:t>一、编制依据：</w:t>
      </w:r>
    </w:p>
    <w:p w14:paraId="412A22C3">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0" w:firstLineChars="200"/>
        <w:textAlignment w:val="auto"/>
        <w:rPr>
          <w:rFonts w:hint="eastAsia" w:ascii="仿宋_GB2312" w:hAnsi="仿宋_GB2312" w:eastAsia="仿宋_GB2312" w:cs="仿宋_GB2312"/>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bidi="ar"/>
        </w:rPr>
        <w:t>（一）</w:t>
      </w:r>
      <w:r>
        <w:rPr>
          <w:rFonts w:hint="eastAsia" w:ascii="仿宋_GB2312" w:hAnsi="仿宋_GB2312" w:eastAsia="仿宋_GB2312" w:cs="仿宋_GB2312"/>
          <w:color w:val="auto"/>
          <w:kern w:val="0"/>
          <w:sz w:val="32"/>
          <w:szCs w:val="32"/>
          <w:highlight w:val="none"/>
          <w:lang w:val="en-US" w:eastAsia="zh-CN" w:bidi="ar"/>
        </w:rPr>
        <w:t>建设单位提供的图纸</w:t>
      </w:r>
      <w:r>
        <w:rPr>
          <w:rFonts w:hint="eastAsia" w:ascii="仿宋_GB2312" w:hAnsi="仿宋_GB2312" w:eastAsia="仿宋_GB2312" w:cs="仿宋_GB2312"/>
          <w:sz w:val="32"/>
          <w:szCs w:val="32"/>
          <w:highlight w:val="none"/>
          <w:lang w:val="en-US" w:eastAsia="zh-CN"/>
        </w:rPr>
        <w:t>。</w:t>
      </w:r>
    </w:p>
    <w:p w14:paraId="39013DAE">
      <w:pPr>
        <w:keepNext w:val="0"/>
        <w:keepLines w:val="0"/>
        <w:pageBreakBefore w:val="0"/>
        <w:widowControl w:val="0"/>
        <w:kinsoku/>
        <w:wordWrap/>
        <w:overflowPunct/>
        <w:topLinePunct w:val="0"/>
        <w:autoSpaceDE/>
        <w:autoSpaceDN/>
        <w:bidi w:val="0"/>
        <w:adjustRightInd/>
        <w:snapToGrid/>
        <w:spacing w:line="240" w:lineRule="auto"/>
        <w:ind w:right="0" w:rightChars="0" w:firstLine="640"/>
        <w:textAlignment w:val="auto"/>
        <w:outlineLvl w:val="9"/>
        <w:rPr>
          <w:rFonts w:hint="default"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kern w:val="0"/>
          <w:sz w:val="32"/>
          <w:szCs w:val="32"/>
          <w:highlight w:val="none"/>
          <w:lang w:val="en-US" w:eastAsia="zh-CN" w:bidi="ar"/>
        </w:rPr>
        <w:t>（二）</w:t>
      </w:r>
      <w:r>
        <w:rPr>
          <w:rFonts w:hint="eastAsia" w:ascii="仿宋_GB2312" w:hAnsi="仿宋_GB2312" w:eastAsia="仿宋_GB2312" w:cs="仿宋_GB2312"/>
          <w:sz w:val="32"/>
          <w:szCs w:val="32"/>
          <w:highlight w:val="none"/>
          <w:lang w:eastAsia="zh-CN"/>
        </w:rPr>
        <w:t>与本工程有关的标准（包括标准图集）、规范、技术资料</w:t>
      </w:r>
      <w:r>
        <w:rPr>
          <w:rFonts w:hint="eastAsia" w:ascii="仿宋_GB2312" w:hAnsi="仿宋_GB2312" w:eastAsia="仿宋_GB2312" w:cs="仿宋_GB2312"/>
          <w:color w:val="auto"/>
          <w:sz w:val="32"/>
          <w:szCs w:val="32"/>
          <w:highlight w:val="none"/>
          <w:lang w:eastAsia="zh-CN"/>
        </w:rPr>
        <w:t>。</w:t>
      </w:r>
    </w:p>
    <w:p w14:paraId="30BDCD0F">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both"/>
        <w:textAlignment w:val="auto"/>
        <w:rPr>
          <w:rFonts w:hint="eastAsia" w:ascii="仿宋_GB2312" w:hAnsi="仿宋_GB2312" w:eastAsia="仿宋_GB2312" w:cs="仿宋_GB2312"/>
          <w:sz w:val="32"/>
          <w:szCs w:val="32"/>
          <w:highlight w:val="none"/>
        </w:rPr>
      </w:pPr>
      <w:r>
        <w:rPr>
          <w:rFonts w:hint="eastAsia" w:ascii="仿宋_GB2312" w:hAnsi="仿宋_GB2312" w:eastAsia="仿宋_GB2312" w:cs="仿宋_GB2312"/>
          <w:kern w:val="0"/>
          <w:sz w:val="32"/>
          <w:szCs w:val="32"/>
          <w:highlight w:val="none"/>
          <w:lang w:val="en-US" w:eastAsia="zh-CN" w:bidi="ar"/>
        </w:rPr>
        <w:t>（三）</w:t>
      </w:r>
      <w:r>
        <w:rPr>
          <w:rFonts w:hint="eastAsia" w:ascii="仿宋_GB2312" w:hAnsi="仿宋_GB2312" w:eastAsia="仿宋_GB2312" w:cs="仿宋_GB2312"/>
          <w:sz w:val="32"/>
          <w:szCs w:val="32"/>
          <w:highlight w:val="none"/>
        </w:rPr>
        <w:t>清单执行《建设工程工程量清单计价规范(GB50500-2013)》及解释和勘误。定额执行2</w:t>
      </w:r>
      <w:r>
        <w:rPr>
          <w:rFonts w:hint="eastAsia" w:ascii="仿宋_GB2312" w:hAnsi="仿宋_GB2312" w:eastAsia="仿宋_GB2312" w:cs="仿宋_GB2312"/>
          <w:sz w:val="32"/>
          <w:szCs w:val="32"/>
          <w:highlight w:val="none"/>
          <w:lang w:val="en-US" w:eastAsia="zh-CN"/>
        </w:rPr>
        <w:t>017届</w:t>
      </w:r>
      <w:r>
        <w:rPr>
          <w:rFonts w:hint="eastAsia" w:ascii="仿宋_GB2312" w:hAnsi="仿宋_GB2312" w:eastAsia="仿宋_GB2312" w:cs="仿宋_GB2312"/>
          <w:sz w:val="32"/>
          <w:szCs w:val="32"/>
          <w:highlight w:val="none"/>
        </w:rPr>
        <w:t>《内蒙古自治区市政工程预算定额》</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《内蒙古自治区房屋建筑与装饰工程预算定额》</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《内蒙古自治区通用安装工程预算定额》</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《内蒙古自治区园林绿化工程预算定额》</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《内蒙古自治区建设工程费用定额》及现行相关政策性文件等。</w:t>
      </w:r>
    </w:p>
    <w:p w14:paraId="58078F96">
      <w:pPr>
        <w:autoSpaceDE w:val="0"/>
        <w:autoSpaceDN w:val="0"/>
        <w:adjustRightInd w:val="0"/>
        <w:spacing w:line="240" w:lineRule="atLeast"/>
        <w:ind w:left="15" w:leftChars="7" w:firstLine="675" w:firstLineChars="211"/>
        <w:jc w:val="left"/>
        <w:rPr>
          <w:rFonts w:hint="eastAsia" w:ascii="仿宋_GB2312" w:hAnsi="仿宋_GB2312" w:eastAsia="仿宋_GB2312" w:cs="仿宋_GB2312"/>
          <w:kern w:val="0"/>
          <w:sz w:val="32"/>
          <w:szCs w:val="32"/>
          <w:highlight w:val="none"/>
          <w:lang w:bidi="ar"/>
        </w:rPr>
      </w:pPr>
      <w:r>
        <w:rPr>
          <w:rFonts w:hint="eastAsia" w:ascii="仿宋_GB2312" w:hAnsi="仿宋_GB2312" w:eastAsia="仿宋_GB2312" w:cs="仿宋_GB2312"/>
          <w:kern w:val="0"/>
          <w:sz w:val="32"/>
          <w:szCs w:val="32"/>
          <w:highlight w:val="none"/>
          <w:lang w:val="en-US" w:eastAsia="zh-CN" w:bidi="ar"/>
        </w:rPr>
        <w:t>（四）</w:t>
      </w:r>
      <w:r>
        <w:rPr>
          <w:rFonts w:hint="eastAsia" w:ascii="仿宋_GB2312" w:hAnsi="仿宋_GB2312" w:eastAsia="仿宋_GB2312" w:cs="仿宋_GB2312"/>
          <w:kern w:val="0"/>
          <w:sz w:val="32"/>
          <w:szCs w:val="32"/>
          <w:highlight w:val="none"/>
          <w:lang w:bidi="ar"/>
        </w:rPr>
        <w:t xml:space="preserve">税金执行《关于调整内蒙古自治区建设工程计价依据增值税税率的通知》内建标[2019]113号文件，税率为9%。 </w:t>
      </w:r>
    </w:p>
    <w:p w14:paraId="2501283B">
      <w:pPr>
        <w:autoSpaceDE w:val="0"/>
        <w:autoSpaceDN w:val="0"/>
        <w:adjustRightInd w:val="0"/>
        <w:spacing w:line="240" w:lineRule="atLeast"/>
        <w:ind w:left="15" w:leftChars="7" w:firstLine="443" w:firstLineChars="211"/>
        <w:jc w:val="left"/>
        <w:rPr>
          <w:rFonts w:hint="eastAsia" w:ascii="仿宋_GB2312" w:hAnsi="仿宋_GB2312" w:eastAsia="仿宋_GB2312" w:cs="仿宋_GB2312"/>
          <w:sz w:val="32"/>
          <w:szCs w:val="32"/>
          <w:highlight w:val="none"/>
        </w:rPr>
      </w:pPr>
      <w:r>
        <w:rPr>
          <w:rFonts w:hint="eastAsia"/>
          <w:lang w:val="en-US" w:eastAsia="zh-CN"/>
        </w:rPr>
        <w:t xml:space="preserve">  </w:t>
      </w:r>
      <w:r>
        <w:rPr>
          <w:rFonts w:hint="eastAsia" w:ascii="仿宋_GB2312" w:hAnsi="仿宋_GB2312" w:eastAsia="仿宋_GB2312" w:cs="仿宋_GB2312"/>
          <w:kern w:val="0"/>
          <w:sz w:val="32"/>
          <w:szCs w:val="32"/>
          <w:highlight w:val="none"/>
          <w:lang w:val="en-US" w:eastAsia="zh-CN" w:bidi="ar"/>
        </w:rPr>
        <w:t>（五）人工费调增执行《内蒙古自治区住房和城乡建设厅关于调整内蒙古自治区建设工程现行预算定额人工费的通知》内建标[2021]148号文件，定额人工费调增10%。</w:t>
      </w:r>
    </w:p>
    <w:p w14:paraId="24410795">
      <w:pPr>
        <w:keepNext w:val="0"/>
        <w:keepLines w:val="0"/>
        <w:pageBreakBefore w:val="0"/>
        <w:widowControl w:val="0"/>
        <w:kinsoku/>
        <w:wordWrap/>
        <w:overflowPunct/>
        <w:topLinePunct w:val="0"/>
        <w:autoSpaceDE w:val="0"/>
        <w:autoSpaceDN w:val="0"/>
        <w:bidi w:val="0"/>
        <w:adjustRightInd w:val="0"/>
        <w:snapToGrid/>
        <w:spacing w:line="240" w:lineRule="auto"/>
        <w:ind w:firstLine="643" w:firstLineChars="200"/>
        <w:jc w:val="left"/>
        <w:textAlignment w:val="auto"/>
        <w:rPr>
          <w:rFonts w:hint="eastAsia" w:ascii="仿宋_GB2312" w:hAnsi="仿宋_GB2312" w:eastAsia="仿宋_GB2312" w:cs="仿宋_GB2312"/>
          <w:b/>
          <w:bCs/>
          <w:kern w:val="0"/>
          <w:sz w:val="32"/>
          <w:szCs w:val="32"/>
          <w:highlight w:val="none"/>
          <w:lang w:val="en-US" w:eastAsia="zh-CN" w:bidi="ar"/>
        </w:rPr>
      </w:pPr>
      <w:r>
        <w:rPr>
          <w:rFonts w:hint="eastAsia" w:ascii="仿宋_GB2312" w:hAnsi="仿宋_GB2312" w:eastAsia="仿宋_GB2312" w:cs="仿宋_GB2312"/>
          <w:b/>
          <w:bCs/>
          <w:kern w:val="0"/>
          <w:sz w:val="32"/>
          <w:szCs w:val="32"/>
          <w:highlight w:val="none"/>
          <w:lang w:val="en-US" w:eastAsia="zh-CN" w:bidi="ar"/>
        </w:rPr>
        <w:t>二、其他说明</w:t>
      </w:r>
    </w:p>
    <w:p w14:paraId="670B2277">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ascii="仿宋_GB2312" w:hAnsi="仿宋_GB2312" w:eastAsia="仿宋_GB2312" w:cs="仿宋_GB2312"/>
          <w:color w:val="C00000"/>
          <w:kern w:val="0"/>
          <w:sz w:val="32"/>
          <w:szCs w:val="32"/>
          <w:highlight w:val="none"/>
          <w:lang w:val="en-US" w:eastAsia="zh-CN" w:bidi="ar"/>
        </w:rPr>
      </w:pPr>
      <w:r>
        <w:rPr>
          <w:rFonts w:hint="eastAsia" w:ascii="仿宋_GB2312" w:hAnsi="仿宋_GB2312" w:eastAsia="仿宋_GB2312" w:cs="仿宋_GB2312"/>
          <w:color w:val="C00000"/>
          <w:kern w:val="0"/>
          <w:sz w:val="32"/>
          <w:szCs w:val="32"/>
          <w:highlight w:val="none"/>
          <w:lang w:val="en-US" w:eastAsia="zh-CN" w:bidi="ar"/>
        </w:rPr>
        <w:t>（一）暂列金额为440000.01</w:t>
      </w:r>
      <w:bookmarkStart w:id="0" w:name="_GoBack"/>
      <w:bookmarkEnd w:id="0"/>
      <w:r>
        <w:rPr>
          <w:rFonts w:hint="eastAsia" w:ascii="仿宋_GB2312" w:hAnsi="仿宋_GB2312" w:eastAsia="仿宋_GB2312" w:cs="仿宋_GB2312"/>
          <w:color w:val="C00000"/>
          <w:kern w:val="0"/>
          <w:sz w:val="32"/>
          <w:szCs w:val="32"/>
          <w:highlight w:val="none"/>
          <w:lang w:val="en-US" w:eastAsia="zh-CN" w:bidi="ar"/>
        </w:rPr>
        <w:t>元(含税金)，招投标时不得作为竞争性费用，严格按清单计价规范计取税金9%后进行编制。</w:t>
      </w:r>
    </w:p>
    <w:p w14:paraId="4FCDC0C3">
      <w:pPr>
        <w:keepNext w:val="0"/>
        <w:keepLines w:val="0"/>
        <w:pageBreakBefore w:val="0"/>
        <w:widowControl w:val="0"/>
        <w:kinsoku/>
        <w:wordWrap/>
        <w:overflowPunct/>
        <w:topLinePunct w:val="0"/>
        <w:autoSpaceDE w:val="0"/>
        <w:autoSpaceDN w:val="0"/>
        <w:bidi w:val="0"/>
        <w:adjustRightInd w:val="0"/>
        <w:snapToGrid/>
        <w:spacing w:line="240" w:lineRule="auto"/>
        <w:ind w:firstLine="640" w:firstLineChars="200"/>
        <w:jc w:val="left"/>
        <w:textAlignment w:val="auto"/>
        <w:rPr>
          <w:rFonts w:hint="eastAsia" w:ascii="仿宋_GB2312" w:hAnsi="仿宋_GB2312" w:eastAsia="仿宋_GB2312" w:cs="仿宋_GB2312"/>
          <w:kern w:val="0"/>
          <w:sz w:val="32"/>
          <w:szCs w:val="32"/>
          <w:highlight w:val="none"/>
          <w:lang w:val="en-US" w:eastAsia="zh-CN" w:bidi="ar"/>
        </w:rPr>
      </w:pPr>
      <w:r>
        <w:rPr>
          <w:rFonts w:hint="eastAsia" w:ascii="仿宋_GB2312" w:hAnsi="仿宋_GB2312" w:eastAsia="仿宋_GB2312" w:cs="仿宋_GB2312"/>
          <w:kern w:val="0"/>
          <w:sz w:val="32"/>
          <w:szCs w:val="32"/>
          <w:highlight w:val="none"/>
          <w:lang w:val="en-US" w:eastAsia="zh-CN" w:bidi="ar"/>
        </w:rPr>
        <w:t>（二）暂估价详见“材料（工程设备）暂估单价及调整表”，招投标时不得作为竞争性费用。</w:t>
      </w:r>
    </w:p>
    <w:p w14:paraId="3B8922BC">
      <w:pPr>
        <w:spacing w:line="360" w:lineRule="auto"/>
        <w:ind w:firstLine="640" w:firstLineChars="200"/>
        <w:rPr>
          <w:rFonts w:hint="eastAsia" w:ascii="仿宋" w:hAnsi="仿宋" w:eastAsia="仿宋" w:cs="仿宋"/>
          <w:kern w:val="0"/>
          <w:sz w:val="32"/>
          <w:szCs w:val="32"/>
          <w:lang w:bidi="ar"/>
        </w:rPr>
      </w:pPr>
      <w:r>
        <w:rPr>
          <w:rFonts w:hint="eastAsia" w:ascii="仿宋_GB2312" w:hAnsi="仿宋_GB2312" w:eastAsia="仿宋_GB2312" w:cs="仿宋_GB2312"/>
          <w:kern w:val="0"/>
          <w:sz w:val="32"/>
          <w:szCs w:val="32"/>
          <w:highlight w:val="none"/>
          <w:lang w:val="en-US" w:eastAsia="zh-CN" w:bidi="ar"/>
        </w:rPr>
        <w:t>（三）</w:t>
      </w:r>
      <w:r>
        <w:rPr>
          <w:rFonts w:hint="eastAsia" w:ascii="仿宋" w:hAnsi="仿宋" w:eastAsia="仿宋" w:cs="仿宋"/>
          <w:kern w:val="0"/>
          <w:sz w:val="32"/>
          <w:szCs w:val="32"/>
        </w:rPr>
        <w:t>本工程为维修改造项目，施工方应充分考虑成品保护，夜间施工、材料及垃圾运输、室内维修工程除尘降噪等保护</w:t>
      </w:r>
      <w:r>
        <w:rPr>
          <w:rFonts w:hint="eastAsia" w:ascii="仿宋" w:hAnsi="仿宋" w:eastAsia="仿宋" w:cs="仿宋"/>
          <w:kern w:val="0"/>
          <w:sz w:val="32"/>
          <w:szCs w:val="32"/>
          <w:lang w:bidi="ar"/>
        </w:rPr>
        <w:t>措施，施工单位在投标报价中安排合理的施工组织，相应费用应考虑在投标报价中，结算时不做调整；</w:t>
      </w:r>
    </w:p>
    <w:p w14:paraId="52F97C92">
      <w:pPr>
        <w:spacing w:line="360" w:lineRule="auto"/>
        <w:ind w:firstLine="640" w:firstLineChars="200"/>
        <w:rPr>
          <w:rFonts w:hint="eastAsia" w:ascii="仿宋" w:hAnsi="仿宋" w:eastAsia="仿宋" w:cs="仿宋"/>
          <w:sz w:val="32"/>
          <w:szCs w:val="32"/>
          <w:lang w:bidi="ar"/>
        </w:rPr>
      </w:pPr>
      <w:r>
        <w:rPr>
          <w:rFonts w:hint="eastAsia" w:ascii="仿宋" w:hAnsi="仿宋" w:eastAsia="仿宋" w:cs="仿宋"/>
          <w:sz w:val="32"/>
          <w:szCs w:val="32"/>
          <w:lang w:eastAsia="zh-CN" w:bidi="ar"/>
        </w:rPr>
        <w:t>（</w:t>
      </w:r>
      <w:r>
        <w:rPr>
          <w:rFonts w:hint="eastAsia" w:ascii="仿宋" w:hAnsi="仿宋" w:eastAsia="仿宋" w:cs="仿宋"/>
          <w:sz w:val="32"/>
          <w:szCs w:val="32"/>
          <w:lang w:val="en-US" w:eastAsia="zh-CN" w:bidi="ar"/>
        </w:rPr>
        <w:t>四</w:t>
      </w:r>
      <w:r>
        <w:rPr>
          <w:rFonts w:hint="eastAsia" w:ascii="仿宋" w:hAnsi="仿宋" w:eastAsia="仿宋" w:cs="仿宋"/>
          <w:sz w:val="32"/>
          <w:szCs w:val="32"/>
          <w:lang w:eastAsia="zh-CN" w:bidi="ar"/>
        </w:rPr>
        <w:t>）</w:t>
      </w:r>
      <w:r>
        <w:rPr>
          <w:rFonts w:hint="eastAsia" w:ascii="仿宋" w:hAnsi="仿宋" w:eastAsia="仿宋" w:cs="仿宋"/>
          <w:sz w:val="32"/>
          <w:szCs w:val="32"/>
          <w:lang w:bidi="ar"/>
        </w:rPr>
        <w:t>对所有拆除的有价值的材料或设备要进行保护性拆除，按使用方要求进行移交，否则结算按利旧处理；</w:t>
      </w:r>
    </w:p>
    <w:p w14:paraId="6A974362">
      <w:pPr>
        <w:spacing w:line="360" w:lineRule="auto"/>
        <w:ind w:firstLine="640" w:firstLineChars="200"/>
        <w:rPr>
          <w:rFonts w:hint="eastAsia" w:ascii="仿宋" w:hAnsi="仿宋" w:eastAsia="仿宋" w:cs="仿宋"/>
          <w:kern w:val="0"/>
          <w:sz w:val="32"/>
          <w:szCs w:val="32"/>
          <w:lang w:bidi="ar"/>
        </w:rPr>
      </w:pPr>
      <w:r>
        <w:rPr>
          <w:rFonts w:hint="eastAsia" w:ascii="仿宋" w:hAnsi="仿宋" w:eastAsia="仿宋" w:cs="仿宋"/>
          <w:sz w:val="32"/>
          <w:szCs w:val="32"/>
          <w:lang w:eastAsia="zh-CN" w:bidi="ar"/>
        </w:rPr>
        <w:t>（</w:t>
      </w:r>
      <w:r>
        <w:rPr>
          <w:rFonts w:hint="eastAsia" w:ascii="仿宋" w:hAnsi="仿宋" w:eastAsia="仿宋" w:cs="仿宋"/>
          <w:sz w:val="32"/>
          <w:szCs w:val="32"/>
          <w:lang w:val="en-US" w:eastAsia="zh-CN" w:bidi="ar"/>
        </w:rPr>
        <w:t>五</w:t>
      </w:r>
      <w:r>
        <w:rPr>
          <w:rFonts w:hint="eastAsia" w:ascii="仿宋" w:hAnsi="仿宋" w:eastAsia="仿宋" w:cs="仿宋"/>
          <w:sz w:val="32"/>
          <w:szCs w:val="32"/>
          <w:lang w:eastAsia="zh-CN" w:bidi="ar"/>
        </w:rPr>
        <w:t>）</w:t>
      </w:r>
      <w:r>
        <w:rPr>
          <w:rFonts w:hint="eastAsia" w:ascii="仿宋" w:hAnsi="仿宋" w:eastAsia="仿宋" w:cs="仿宋"/>
          <w:kern w:val="0"/>
          <w:sz w:val="32"/>
          <w:szCs w:val="32"/>
          <w:lang w:bidi="ar"/>
        </w:rPr>
        <w:t>外网管沟开挖、拆管及铺管等施工全过程中不得扰动周边管线、管道等，对该部分保护措施费用应考虑在投标报价中，结算时不做调整。</w:t>
      </w:r>
    </w:p>
    <w:p w14:paraId="1AEF0D4D">
      <w:pPr>
        <w:spacing w:line="360" w:lineRule="auto"/>
        <w:ind w:firstLine="640" w:firstLineChars="200"/>
        <w:rPr>
          <w:rFonts w:hint="eastAsia" w:ascii="仿宋" w:hAnsi="仿宋" w:eastAsia="仿宋" w:cs="仿宋"/>
          <w:sz w:val="32"/>
          <w:szCs w:val="32"/>
          <w:lang w:eastAsia="zh-CN"/>
        </w:rPr>
      </w:pP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val="en-US" w:eastAsia="zh-CN" w:bidi="ar"/>
        </w:rPr>
        <w:t>六</w:t>
      </w:r>
      <w:r>
        <w:rPr>
          <w:rFonts w:hint="eastAsia" w:ascii="仿宋" w:hAnsi="仿宋" w:eastAsia="仿宋" w:cs="仿宋"/>
          <w:kern w:val="0"/>
          <w:sz w:val="32"/>
          <w:szCs w:val="32"/>
          <w:lang w:eastAsia="zh-CN" w:bidi="ar"/>
        </w:rPr>
        <w:t>）</w:t>
      </w:r>
      <w:r>
        <w:rPr>
          <w:rFonts w:hint="eastAsia" w:ascii="仿宋" w:hAnsi="仿宋" w:eastAsia="仿宋" w:cs="仿宋"/>
          <w:sz w:val="32"/>
          <w:szCs w:val="32"/>
        </w:rPr>
        <w:t>垃圾、土方等外运的运距，投标方报价时自行考虑，且需满足当地垃圾处理部门的处理要求。</w:t>
      </w:r>
    </w:p>
    <w:p w14:paraId="5A06B5AF">
      <w:pPr>
        <w:spacing w:line="360" w:lineRule="auto"/>
        <w:ind w:firstLine="640" w:firstLineChars="200"/>
        <w:rPr>
          <w:rFonts w:hint="default" w:asciiTheme="minorEastAsia" w:hAnsiTheme="minorEastAsia" w:cstheme="minorEastAsia"/>
          <w:b w:val="0"/>
          <w:bCs w:val="0"/>
          <w:color w:val="auto"/>
          <w:kern w:val="0"/>
          <w:sz w:val="32"/>
          <w:szCs w:val="32"/>
          <w:lang w:val="en-US" w:eastAsia="zh-CN"/>
        </w:rPr>
      </w:pP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val="en-US" w:eastAsia="zh-CN" w:bidi="ar"/>
        </w:rPr>
        <w:t>七</w:t>
      </w: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val="en-US" w:eastAsia="zh-CN" w:bidi="ar"/>
        </w:rPr>
        <w:t>招标工程量清单及控制价编制未考虑三个区域外局部</w:t>
      </w:r>
      <w:r>
        <w:rPr>
          <w:rFonts w:hint="eastAsia" w:ascii="仿宋" w:hAnsi="仿宋" w:eastAsia="仿宋" w:cs="仿宋"/>
          <w:kern w:val="0"/>
          <w:sz w:val="32"/>
          <w:szCs w:val="32"/>
          <w:lang w:eastAsia="zh-CN" w:bidi="ar"/>
        </w:rPr>
        <w:t>给</w:t>
      </w:r>
      <w:r>
        <w:rPr>
          <w:rFonts w:hint="eastAsia" w:ascii="仿宋" w:hAnsi="仿宋" w:eastAsia="仿宋" w:cs="仿宋"/>
          <w:kern w:val="0"/>
          <w:sz w:val="32"/>
          <w:szCs w:val="32"/>
          <w:lang w:val="en-US" w:eastAsia="zh-CN" w:bidi="ar"/>
        </w:rPr>
        <w:t>排</w:t>
      </w:r>
      <w:r>
        <w:rPr>
          <w:rFonts w:hint="eastAsia" w:ascii="仿宋" w:hAnsi="仿宋" w:eastAsia="仿宋" w:cs="仿宋"/>
          <w:kern w:val="0"/>
          <w:sz w:val="32"/>
          <w:szCs w:val="32"/>
          <w:lang w:eastAsia="zh-CN" w:bidi="ar"/>
        </w:rPr>
        <w:t>水管网、</w:t>
      </w:r>
      <w:r>
        <w:rPr>
          <w:rFonts w:hint="eastAsia" w:ascii="仿宋" w:hAnsi="仿宋" w:eastAsia="仿宋" w:cs="仿宋"/>
          <w:kern w:val="0"/>
          <w:sz w:val="32"/>
          <w:szCs w:val="32"/>
          <w:lang w:val="en-US" w:eastAsia="zh-CN" w:bidi="ar"/>
        </w:rPr>
        <w:t>阀门、</w:t>
      </w:r>
      <w:r>
        <w:rPr>
          <w:rFonts w:hint="eastAsia" w:ascii="仿宋" w:hAnsi="仿宋" w:eastAsia="仿宋" w:cs="仿宋"/>
          <w:kern w:val="0"/>
          <w:sz w:val="32"/>
          <w:szCs w:val="32"/>
          <w:lang w:eastAsia="zh-CN" w:bidi="ar"/>
        </w:rPr>
        <w:t>现有灯及电缆</w:t>
      </w:r>
      <w:r>
        <w:rPr>
          <w:rFonts w:hint="eastAsia" w:ascii="仿宋" w:hAnsi="仿宋" w:eastAsia="仿宋" w:cs="仿宋"/>
          <w:kern w:val="0"/>
          <w:sz w:val="32"/>
          <w:szCs w:val="32"/>
          <w:lang w:val="en-US" w:eastAsia="zh-CN" w:bidi="ar"/>
        </w:rPr>
        <w:t>等</w:t>
      </w:r>
      <w:r>
        <w:rPr>
          <w:rFonts w:hint="eastAsia" w:ascii="仿宋" w:hAnsi="仿宋" w:eastAsia="仿宋" w:cs="仿宋"/>
          <w:kern w:val="0"/>
          <w:sz w:val="32"/>
          <w:szCs w:val="32"/>
          <w:lang w:eastAsia="zh-CN" w:bidi="ar"/>
        </w:rPr>
        <w:t>拆除</w:t>
      </w:r>
      <w:r>
        <w:rPr>
          <w:rFonts w:hint="eastAsia" w:ascii="仿宋" w:hAnsi="仿宋" w:eastAsia="仿宋" w:cs="仿宋"/>
          <w:kern w:val="0"/>
          <w:sz w:val="32"/>
          <w:szCs w:val="32"/>
          <w:lang w:val="en-US" w:eastAsia="zh-CN" w:bidi="ar"/>
        </w:rPr>
        <w:t>更换</w:t>
      </w: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val="en-US" w:eastAsia="zh-CN" w:bidi="ar"/>
        </w:rPr>
        <w:t>如需拆除更换</w:t>
      </w:r>
      <w:r>
        <w:rPr>
          <w:rFonts w:hint="eastAsia" w:ascii="仿宋" w:hAnsi="仿宋" w:eastAsia="仿宋" w:cs="仿宋"/>
          <w:kern w:val="0"/>
          <w:sz w:val="32"/>
          <w:szCs w:val="32"/>
          <w:lang w:eastAsia="zh-CN" w:bidi="ar"/>
        </w:rPr>
        <w:t>，</w:t>
      </w:r>
      <w:r>
        <w:rPr>
          <w:rFonts w:hint="eastAsia" w:ascii="仿宋" w:hAnsi="仿宋" w:eastAsia="仿宋" w:cs="仿宋"/>
          <w:kern w:val="0"/>
          <w:sz w:val="32"/>
          <w:szCs w:val="32"/>
          <w:lang w:val="en-US" w:eastAsia="zh-CN" w:bidi="ar"/>
        </w:rPr>
        <w:t>拆除更换量</w:t>
      </w:r>
      <w:r>
        <w:rPr>
          <w:rFonts w:hint="eastAsia" w:ascii="仿宋" w:hAnsi="仿宋" w:eastAsia="仿宋" w:cs="仿宋"/>
          <w:kern w:val="0"/>
          <w:sz w:val="32"/>
          <w:szCs w:val="32"/>
          <w:lang w:eastAsia="zh-CN" w:bidi="ar"/>
        </w:rPr>
        <w:t>现场确定。</w:t>
      </w:r>
    </w:p>
    <w:p w14:paraId="0B3536E9">
      <w:pPr>
        <w:spacing w:line="360" w:lineRule="auto"/>
        <w:ind w:firstLine="643" w:firstLineChars="200"/>
        <w:rPr>
          <w:rFonts w:hint="eastAsia" w:ascii="仿宋" w:hAnsi="仿宋" w:eastAsia="仿宋" w:cs="仿宋"/>
          <w:kern w:val="0"/>
          <w:sz w:val="32"/>
          <w:szCs w:val="32"/>
          <w:lang w:eastAsia="zh-CN" w:bidi="ar"/>
        </w:rPr>
      </w:pPr>
      <w:r>
        <w:rPr>
          <w:rFonts w:hint="eastAsia" w:ascii="仿宋_GB2312" w:hAnsi="仿宋_GB2312" w:eastAsia="仿宋_GB2312" w:cs="仿宋_GB2312"/>
          <w:b/>
          <w:bCs/>
          <w:kern w:val="0"/>
          <w:sz w:val="32"/>
          <w:szCs w:val="32"/>
          <w:highlight w:val="none"/>
          <w:lang w:val="en-US" w:eastAsia="zh-CN" w:bidi="ar"/>
        </w:rPr>
        <w:t>三、报价说明：</w:t>
      </w:r>
      <w:r>
        <w:rPr>
          <w:rFonts w:hint="eastAsia" w:ascii="仿宋" w:hAnsi="仿宋" w:eastAsia="仿宋" w:cs="仿宋"/>
          <w:kern w:val="0"/>
          <w:sz w:val="32"/>
          <w:szCs w:val="32"/>
          <w:lang w:val="en-US" w:eastAsia="zh-CN" w:bidi="ar"/>
        </w:rPr>
        <w:t xml:space="preserve">   </w:t>
      </w:r>
      <w:r>
        <w:rPr>
          <w:rFonts w:hint="eastAsia" w:ascii="仿宋" w:hAnsi="仿宋" w:eastAsia="仿宋" w:cs="仿宋"/>
          <w:kern w:val="0"/>
          <w:sz w:val="32"/>
          <w:szCs w:val="32"/>
          <w:lang w:eastAsia="zh-CN" w:bidi="ar"/>
        </w:rPr>
        <w:t xml:space="preserve">                                    </w:t>
      </w:r>
    </w:p>
    <w:p w14:paraId="2323AC72">
      <w:pPr>
        <w:spacing w:line="360" w:lineRule="auto"/>
        <w:ind w:firstLine="640" w:firstLineChars="200"/>
        <w:rPr>
          <w:rFonts w:hint="eastAsia" w:ascii="仿宋" w:hAnsi="仿宋" w:eastAsia="仿宋" w:cs="仿宋"/>
          <w:kern w:val="0"/>
          <w:sz w:val="32"/>
          <w:szCs w:val="32"/>
          <w:lang w:eastAsia="zh-CN" w:bidi="ar"/>
        </w:rPr>
      </w:pPr>
      <w:r>
        <w:rPr>
          <w:rFonts w:hint="eastAsia" w:ascii="仿宋" w:hAnsi="仿宋" w:eastAsia="仿宋" w:cs="仿宋"/>
          <w:kern w:val="0"/>
          <w:sz w:val="32"/>
          <w:szCs w:val="32"/>
          <w:lang w:eastAsia="zh-CN" w:bidi="ar"/>
        </w:rPr>
        <w:t>1</w:t>
      </w:r>
      <w:r>
        <w:rPr>
          <w:rFonts w:hint="eastAsia" w:ascii="仿宋" w:hAnsi="仿宋" w:eastAsia="仿宋" w:cs="仿宋"/>
          <w:kern w:val="0"/>
          <w:sz w:val="32"/>
          <w:szCs w:val="32"/>
          <w:lang w:val="en-US" w:eastAsia="zh-CN" w:bidi="ar"/>
        </w:rPr>
        <w:t>、</w:t>
      </w:r>
      <w:r>
        <w:rPr>
          <w:rFonts w:hint="eastAsia" w:ascii="仿宋" w:hAnsi="仿宋" w:eastAsia="仿宋" w:cs="仿宋"/>
          <w:kern w:val="0"/>
          <w:sz w:val="32"/>
          <w:szCs w:val="32"/>
          <w:lang w:eastAsia="zh-CN" w:bidi="ar"/>
        </w:rPr>
        <w:t>投标人必须按招标工程量清单填报价格。项目编码、项目名称、项目特征、计量单位、工程量必须与招标工程量清单一致，如有不一致按否决其投标处理；</w:t>
      </w:r>
    </w:p>
    <w:p w14:paraId="7434BB43">
      <w:pPr>
        <w:spacing w:line="360" w:lineRule="auto"/>
        <w:ind w:firstLine="640" w:firstLineChars="200"/>
        <w:rPr>
          <w:rFonts w:hint="eastAsia" w:ascii="仿宋" w:hAnsi="仿宋" w:eastAsia="仿宋" w:cs="仿宋"/>
          <w:kern w:val="0"/>
          <w:sz w:val="32"/>
          <w:szCs w:val="32"/>
          <w:lang w:eastAsia="zh-CN" w:bidi="ar"/>
        </w:rPr>
      </w:pPr>
      <w:r>
        <w:rPr>
          <w:rFonts w:hint="eastAsia" w:ascii="仿宋" w:hAnsi="仿宋" w:eastAsia="仿宋" w:cs="仿宋"/>
          <w:kern w:val="0"/>
          <w:sz w:val="32"/>
          <w:szCs w:val="32"/>
          <w:lang w:eastAsia="zh-CN" w:bidi="ar"/>
        </w:rPr>
        <w:t>2</w:t>
      </w:r>
      <w:r>
        <w:rPr>
          <w:rFonts w:hint="eastAsia" w:ascii="仿宋" w:hAnsi="仿宋" w:eastAsia="仿宋" w:cs="仿宋"/>
          <w:kern w:val="0"/>
          <w:sz w:val="32"/>
          <w:szCs w:val="32"/>
          <w:lang w:val="en-US" w:eastAsia="zh-CN" w:bidi="ar"/>
        </w:rPr>
        <w:t>、</w:t>
      </w:r>
      <w:r>
        <w:rPr>
          <w:rFonts w:hint="eastAsia" w:ascii="仿宋" w:hAnsi="仿宋" w:eastAsia="仿宋" w:cs="仿宋"/>
          <w:kern w:val="0"/>
          <w:sz w:val="32"/>
          <w:szCs w:val="32"/>
          <w:lang w:eastAsia="zh-CN" w:bidi="ar"/>
        </w:rPr>
        <w:t>投标人必须按招标工程量清单中列出的暂估综合单价进行报价，如有不一致按否决其投标处理；</w:t>
      </w:r>
    </w:p>
    <w:p w14:paraId="1DDE71B0">
      <w:pPr>
        <w:spacing w:line="360" w:lineRule="auto"/>
        <w:ind w:firstLine="640" w:firstLineChars="200"/>
        <w:rPr>
          <w:rFonts w:hint="eastAsia" w:ascii="仿宋" w:hAnsi="仿宋" w:eastAsia="仿宋" w:cs="仿宋"/>
          <w:kern w:val="0"/>
          <w:sz w:val="32"/>
          <w:szCs w:val="32"/>
          <w:lang w:eastAsia="zh-CN" w:bidi="ar"/>
        </w:rPr>
      </w:pPr>
      <w:r>
        <w:rPr>
          <w:rFonts w:hint="eastAsia" w:ascii="仿宋" w:hAnsi="仿宋" w:eastAsia="仿宋" w:cs="仿宋"/>
          <w:kern w:val="0"/>
          <w:sz w:val="32"/>
          <w:szCs w:val="32"/>
          <w:lang w:eastAsia="zh-CN" w:bidi="ar"/>
        </w:rPr>
        <w:t>3</w:t>
      </w:r>
      <w:r>
        <w:rPr>
          <w:rFonts w:hint="eastAsia" w:ascii="仿宋" w:hAnsi="仿宋" w:eastAsia="仿宋" w:cs="仿宋"/>
          <w:kern w:val="0"/>
          <w:sz w:val="32"/>
          <w:szCs w:val="32"/>
          <w:lang w:val="en-US" w:eastAsia="zh-CN" w:bidi="ar"/>
        </w:rPr>
        <w:t>、</w:t>
      </w:r>
      <w:r>
        <w:rPr>
          <w:rFonts w:hint="eastAsia" w:ascii="仿宋" w:hAnsi="仿宋" w:eastAsia="仿宋" w:cs="仿宋"/>
          <w:kern w:val="0"/>
          <w:sz w:val="32"/>
          <w:szCs w:val="32"/>
          <w:lang w:eastAsia="zh-CN" w:bidi="ar"/>
        </w:rPr>
        <w:t>规费和税金应按“规费、税金项目清单与计价表”所列项目并根据国家、省级或行业建设主管部门的有关规定列表和计算，不得作为竞争性费用；</w:t>
      </w:r>
    </w:p>
    <w:p w14:paraId="36178954">
      <w:pPr>
        <w:spacing w:line="360" w:lineRule="auto"/>
        <w:ind w:firstLine="640" w:firstLineChars="200"/>
        <w:rPr>
          <w:rFonts w:hint="eastAsia" w:ascii="仿宋" w:hAnsi="仿宋" w:eastAsia="仿宋" w:cs="仿宋"/>
          <w:kern w:val="0"/>
          <w:sz w:val="32"/>
          <w:szCs w:val="32"/>
          <w:lang w:eastAsia="zh-CN" w:bidi="ar"/>
        </w:rPr>
      </w:pPr>
      <w:r>
        <w:rPr>
          <w:rFonts w:hint="eastAsia" w:ascii="仿宋" w:hAnsi="仿宋" w:eastAsia="仿宋" w:cs="仿宋"/>
          <w:kern w:val="0"/>
          <w:sz w:val="32"/>
          <w:szCs w:val="32"/>
          <w:lang w:eastAsia="zh-CN" w:bidi="ar"/>
        </w:rPr>
        <w:t>4</w:t>
      </w:r>
      <w:r>
        <w:rPr>
          <w:rFonts w:hint="eastAsia" w:ascii="仿宋" w:hAnsi="仿宋" w:eastAsia="仿宋" w:cs="仿宋"/>
          <w:kern w:val="0"/>
          <w:sz w:val="32"/>
          <w:szCs w:val="32"/>
          <w:lang w:val="en-US" w:eastAsia="zh-CN" w:bidi="ar"/>
        </w:rPr>
        <w:t>、</w:t>
      </w:r>
      <w:r>
        <w:rPr>
          <w:rFonts w:hint="eastAsia" w:ascii="仿宋" w:hAnsi="仿宋" w:eastAsia="仿宋" w:cs="仿宋"/>
          <w:kern w:val="0"/>
          <w:sz w:val="32"/>
          <w:szCs w:val="32"/>
          <w:lang w:eastAsia="zh-CN" w:bidi="ar"/>
        </w:rPr>
        <w:t>安全文明费应按 “总价措施项目清单与计价表”所列项目并根据国家、省级或行业建设主管部门的有关规定列算和计算，不得作为竞争性费用；</w:t>
      </w:r>
    </w:p>
    <w:p w14:paraId="4C0715C6">
      <w:pPr>
        <w:spacing w:line="360" w:lineRule="auto"/>
        <w:ind w:firstLine="640" w:firstLineChars="200"/>
        <w:rPr>
          <w:rFonts w:hint="eastAsia" w:asciiTheme="minorEastAsia" w:hAnsiTheme="minorEastAsia" w:eastAsiaTheme="minorEastAsia" w:cstheme="minorEastAsia"/>
          <w:kern w:val="0"/>
          <w:sz w:val="32"/>
          <w:szCs w:val="32"/>
        </w:rPr>
      </w:pPr>
      <w:r>
        <w:rPr>
          <w:rFonts w:hint="eastAsia" w:ascii="仿宋" w:hAnsi="仿宋" w:eastAsia="仿宋" w:cs="仿宋"/>
          <w:kern w:val="0"/>
          <w:sz w:val="32"/>
          <w:szCs w:val="32"/>
          <w:lang w:eastAsia="zh-CN" w:bidi="ar"/>
        </w:rPr>
        <w:t>5</w:t>
      </w:r>
      <w:r>
        <w:rPr>
          <w:rFonts w:hint="eastAsia" w:ascii="仿宋" w:hAnsi="仿宋" w:eastAsia="仿宋" w:cs="仿宋"/>
          <w:kern w:val="0"/>
          <w:sz w:val="32"/>
          <w:szCs w:val="32"/>
          <w:lang w:val="en-US" w:eastAsia="zh-CN" w:bidi="ar"/>
        </w:rPr>
        <w:t>、</w:t>
      </w:r>
      <w:r>
        <w:rPr>
          <w:rFonts w:hint="eastAsia" w:ascii="仿宋" w:hAnsi="仿宋" w:eastAsia="仿宋" w:cs="仿宋"/>
          <w:kern w:val="0"/>
          <w:sz w:val="32"/>
          <w:szCs w:val="32"/>
          <w:lang w:eastAsia="zh-CN" w:bidi="ar"/>
        </w:rPr>
        <w:t>本说明未尽事项， 以“计价规范”、“计价管理办法”、“工程量计算规范”“招标文件”以及有关的法律、法规、建设行政主管部门颁发的文件为准。</w:t>
      </w:r>
    </w:p>
    <w:p w14:paraId="72AB1C59">
      <w:pPr>
        <w:spacing w:line="360" w:lineRule="auto"/>
        <w:ind w:firstLine="640" w:firstLineChars="200"/>
        <w:rPr>
          <w:rFonts w:hint="eastAsia" w:asciiTheme="minorEastAsia" w:hAnsiTheme="minorEastAsia" w:eastAsiaTheme="minorEastAsia" w:cstheme="minorEastAsia"/>
          <w:kern w:val="0"/>
          <w:sz w:val="32"/>
          <w:szCs w:val="32"/>
        </w:rPr>
      </w:pPr>
    </w:p>
    <w:p w14:paraId="328FB547">
      <w:pPr>
        <w:spacing w:line="360" w:lineRule="auto"/>
        <w:ind w:firstLine="640" w:firstLineChars="200"/>
        <w:rPr>
          <w:rFonts w:hint="default" w:asciiTheme="minorEastAsia" w:hAnsiTheme="minorEastAsia" w:eastAsiaTheme="minorEastAsia" w:cstheme="minorEastAsia"/>
          <w:kern w:val="0"/>
          <w:sz w:val="32"/>
          <w:szCs w:val="32"/>
          <w:lang w:val="en-US" w:eastAsia="zh-CN"/>
        </w:rPr>
      </w:pPr>
    </w:p>
    <w:p w14:paraId="28B3B89C">
      <w:pPr>
        <w:pStyle w:val="9"/>
        <w:ind w:left="0" w:leftChars="0" w:firstLine="0" w:firstLineChars="0"/>
        <w:rPr>
          <w:rFonts w:ascii="仿宋" w:hAnsi="仿宋" w:eastAsia="仿宋" w:cs="仿宋"/>
          <w:kern w:val="0"/>
          <w:sz w:val="32"/>
          <w:szCs w:val="32"/>
        </w:rPr>
      </w:pPr>
    </w:p>
    <w:sectPr>
      <w:footerReference r:id="rId3" w:type="default"/>
      <w:pgSz w:w="11906" w:h="16838"/>
      <w:pgMar w:top="1417" w:right="1417" w:bottom="1417" w:left="1134" w:header="851" w:footer="992" w:gutter="0"/>
      <w:pgNumType w:fmt="numberInDash"/>
      <w:cols w:space="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0E6784">
    <w:pPr>
      <w:pStyle w:val="3"/>
      <w:tabs>
        <w:tab w:val="left" w:pos="4376"/>
        <w:tab w:val="clear" w:pos="4153"/>
      </w:tabs>
    </w:pPr>
    <w:r>
      <w:rPr>
        <w:rFonts w:hint="eastAsia"/>
      </w:rPr>
      <w:tab/>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jczMjAyNzgyN2UzZDBjMzc5MTA3MjI5M2IxOWVkYzAifQ=="/>
  </w:docVars>
  <w:rsids>
    <w:rsidRoot w:val="78C44E4C"/>
    <w:rsid w:val="00001D46"/>
    <w:rsid w:val="00096E47"/>
    <w:rsid w:val="000C2D1A"/>
    <w:rsid w:val="000D063E"/>
    <w:rsid w:val="000E28A8"/>
    <w:rsid w:val="000F3EA1"/>
    <w:rsid w:val="000F4875"/>
    <w:rsid w:val="000F6AEB"/>
    <w:rsid w:val="001054C3"/>
    <w:rsid w:val="00116938"/>
    <w:rsid w:val="001217FE"/>
    <w:rsid w:val="001321C7"/>
    <w:rsid w:val="00132A8C"/>
    <w:rsid w:val="00133D91"/>
    <w:rsid w:val="001365F7"/>
    <w:rsid w:val="00137F7B"/>
    <w:rsid w:val="00143ABF"/>
    <w:rsid w:val="00161F4E"/>
    <w:rsid w:val="001713A4"/>
    <w:rsid w:val="0017267C"/>
    <w:rsid w:val="00177734"/>
    <w:rsid w:val="001A21DE"/>
    <w:rsid w:val="001B1839"/>
    <w:rsid w:val="001C03DC"/>
    <w:rsid w:val="001C5B24"/>
    <w:rsid w:val="001E7A3C"/>
    <w:rsid w:val="002251AD"/>
    <w:rsid w:val="00246407"/>
    <w:rsid w:val="00266027"/>
    <w:rsid w:val="0027293D"/>
    <w:rsid w:val="00277B7F"/>
    <w:rsid w:val="002A3159"/>
    <w:rsid w:val="002A44C4"/>
    <w:rsid w:val="002C513D"/>
    <w:rsid w:val="002C797E"/>
    <w:rsid w:val="002E039D"/>
    <w:rsid w:val="002E78E3"/>
    <w:rsid w:val="0030773E"/>
    <w:rsid w:val="00313568"/>
    <w:rsid w:val="0031554F"/>
    <w:rsid w:val="00323931"/>
    <w:rsid w:val="003269A5"/>
    <w:rsid w:val="00344325"/>
    <w:rsid w:val="00347353"/>
    <w:rsid w:val="003805C9"/>
    <w:rsid w:val="003B7B64"/>
    <w:rsid w:val="003C14B3"/>
    <w:rsid w:val="003C77ED"/>
    <w:rsid w:val="003E7227"/>
    <w:rsid w:val="0041581A"/>
    <w:rsid w:val="00436963"/>
    <w:rsid w:val="00446DBC"/>
    <w:rsid w:val="0048073C"/>
    <w:rsid w:val="00481339"/>
    <w:rsid w:val="00485D5A"/>
    <w:rsid w:val="00496AE5"/>
    <w:rsid w:val="004A1F45"/>
    <w:rsid w:val="004B0F5D"/>
    <w:rsid w:val="004B7EA0"/>
    <w:rsid w:val="004D1CC7"/>
    <w:rsid w:val="004F5FAF"/>
    <w:rsid w:val="00515EB6"/>
    <w:rsid w:val="00522A1C"/>
    <w:rsid w:val="00542832"/>
    <w:rsid w:val="00545127"/>
    <w:rsid w:val="00547F57"/>
    <w:rsid w:val="005669B0"/>
    <w:rsid w:val="005838FB"/>
    <w:rsid w:val="005E2DC9"/>
    <w:rsid w:val="005F3018"/>
    <w:rsid w:val="005F44C0"/>
    <w:rsid w:val="005F4A79"/>
    <w:rsid w:val="00614755"/>
    <w:rsid w:val="00620274"/>
    <w:rsid w:val="00625129"/>
    <w:rsid w:val="00632CA0"/>
    <w:rsid w:val="0063491E"/>
    <w:rsid w:val="006479A7"/>
    <w:rsid w:val="00673692"/>
    <w:rsid w:val="00695B62"/>
    <w:rsid w:val="006A2405"/>
    <w:rsid w:val="006F29BF"/>
    <w:rsid w:val="006F5A80"/>
    <w:rsid w:val="006F7E74"/>
    <w:rsid w:val="00720262"/>
    <w:rsid w:val="0072429F"/>
    <w:rsid w:val="00744FB4"/>
    <w:rsid w:val="007638C1"/>
    <w:rsid w:val="007821DB"/>
    <w:rsid w:val="007B0596"/>
    <w:rsid w:val="007B73A9"/>
    <w:rsid w:val="007C174A"/>
    <w:rsid w:val="007E112D"/>
    <w:rsid w:val="007E56BE"/>
    <w:rsid w:val="0080106A"/>
    <w:rsid w:val="00804F73"/>
    <w:rsid w:val="008107FD"/>
    <w:rsid w:val="008266CA"/>
    <w:rsid w:val="00836818"/>
    <w:rsid w:val="008376B0"/>
    <w:rsid w:val="0087322A"/>
    <w:rsid w:val="008B23F9"/>
    <w:rsid w:val="008D4EC4"/>
    <w:rsid w:val="008D6160"/>
    <w:rsid w:val="008D73B3"/>
    <w:rsid w:val="00923CBF"/>
    <w:rsid w:val="00962CB7"/>
    <w:rsid w:val="00965238"/>
    <w:rsid w:val="00966D8C"/>
    <w:rsid w:val="00972641"/>
    <w:rsid w:val="009929AE"/>
    <w:rsid w:val="009A0E17"/>
    <w:rsid w:val="009F39D3"/>
    <w:rsid w:val="009F5071"/>
    <w:rsid w:val="00A44DE9"/>
    <w:rsid w:val="00AC31CA"/>
    <w:rsid w:val="00B14969"/>
    <w:rsid w:val="00B43205"/>
    <w:rsid w:val="00B45FFE"/>
    <w:rsid w:val="00B50C19"/>
    <w:rsid w:val="00B76DEA"/>
    <w:rsid w:val="00B877AB"/>
    <w:rsid w:val="00B95761"/>
    <w:rsid w:val="00BA51AF"/>
    <w:rsid w:val="00BD39EF"/>
    <w:rsid w:val="00BE4F29"/>
    <w:rsid w:val="00BF04EB"/>
    <w:rsid w:val="00BF1A8F"/>
    <w:rsid w:val="00C05F93"/>
    <w:rsid w:val="00C25E28"/>
    <w:rsid w:val="00C4703B"/>
    <w:rsid w:val="00C471CF"/>
    <w:rsid w:val="00CE3FAD"/>
    <w:rsid w:val="00D02F3B"/>
    <w:rsid w:val="00D10AA2"/>
    <w:rsid w:val="00D16604"/>
    <w:rsid w:val="00D203F3"/>
    <w:rsid w:val="00D25F80"/>
    <w:rsid w:val="00D263DC"/>
    <w:rsid w:val="00D27ACF"/>
    <w:rsid w:val="00D44A4D"/>
    <w:rsid w:val="00D4572E"/>
    <w:rsid w:val="00D547E5"/>
    <w:rsid w:val="00D73A75"/>
    <w:rsid w:val="00D743B6"/>
    <w:rsid w:val="00D82525"/>
    <w:rsid w:val="00D83460"/>
    <w:rsid w:val="00D85B94"/>
    <w:rsid w:val="00D94F13"/>
    <w:rsid w:val="00DB1E7F"/>
    <w:rsid w:val="00DF6C1C"/>
    <w:rsid w:val="00E11956"/>
    <w:rsid w:val="00E3216D"/>
    <w:rsid w:val="00E65EF2"/>
    <w:rsid w:val="00E706A4"/>
    <w:rsid w:val="00E9063E"/>
    <w:rsid w:val="00EB025A"/>
    <w:rsid w:val="00ED06A8"/>
    <w:rsid w:val="00EE5937"/>
    <w:rsid w:val="00EF6046"/>
    <w:rsid w:val="00F84C55"/>
    <w:rsid w:val="00F86286"/>
    <w:rsid w:val="00FC17A8"/>
    <w:rsid w:val="00FD4275"/>
    <w:rsid w:val="00FF1971"/>
    <w:rsid w:val="014464DA"/>
    <w:rsid w:val="022049ED"/>
    <w:rsid w:val="0261771B"/>
    <w:rsid w:val="027E380D"/>
    <w:rsid w:val="042E1EA4"/>
    <w:rsid w:val="045135B1"/>
    <w:rsid w:val="04FF037E"/>
    <w:rsid w:val="053A73C8"/>
    <w:rsid w:val="05776166"/>
    <w:rsid w:val="05AB1ACA"/>
    <w:rsid w:val="05B60993"/>
    <w:rsid w:val="066A524E"/>
    <w:rsid w:val="06C121B2"/>
    <w:rsid w:val="06D65159"/>
    <w:rsid w:val="071F0864"/>
    <w:rsid w:val="087E0618"/>
    <w:rsid w:val="0895154A"/>
    <w:rsid w:val="08D94B10"/>
    <w:rsid w:val="096864F1"/>
    <w:rsid w:val="097739DE"/>
    <w:rsid w:val="09B73163"/>
    <w:rsid w:val="09DC347A"/>
    <w:rsid w:val="0A333266"/>
    <w:rsid w:val="0AA8578D"/>
    <w:rsid w:val="0B70484F"/>
    <w:rsid w:val="0BF272FF"/>
    <w:rsid w:val="0C3C4C12"/>
    <w:rsid w:val="0C554F12"/>
    <w:rsid w:val="0C557E7C"/>
    <w:rsid w:val="0C7156BE"/>
    <w:rsid w:val="0D006A41"/>
    <w:rsid w:val="0D112C29"/>
    <w:rsid w:val="0D1A4512"/>
    <w:rsid w:val="0D690E2A"/>
    <w:rsid w:val="0D7F22BE"/>
    <w:rsid w:val="0DA91770"/>
    <w:rsid w:val="0DDF374F"/>
    <w:rsid w:val="0E096268"/>
    <w:rsid w:val="0E134611"/>
    <w:rsid w:val="0EBA2852"/>
    <w:rsid w:val="0EF31B17"/>
    <w:rsid w:val="0EF51B51"/>
    <w:rsid w:val="0F423C63"/>
    <w:rsid w:val="0F742E1D"/>
    <w:rsid w:val="0F8A1B84"/>
    <w:rsid w:val="10045682"/>
    <w:rsid w:val="10111073"/>
    <w:rsid w:val="104B4AA4"/>
    <w:rsid w:val="1056219B"/>
    <w:rsid w:val="10B14351"/>
    <w:rsid w:val="11052878"/>
    <w:rsid w:val="1151575F"/>
    <w:rsid w:val="11867B98"/>
    <w:rsid w:val="118E1BFB"/>
    <w:rsid w:val="12977E48"/>
    <w:rsid w:val="13D41839"/>
    <w:rsid w:val="1433458E"/>
    <w:rsid w:val="146F27BD"/>
    <w:rsid w:val="151C4D37"/>
    <w:rsid w:val="152277F6"/>
    <w:rsid w:val="153402FB"/>
    <w:rsid w:val="154907CB"/>
    <w:rsid w:val="1708628E"/>
    <w:rsid w:val="17325312"/>
    <w:rsid w:val="176A0B04"/>
    <w:rsid w:val="1796247C"/>
    <w:rsid w:val="17E549D3"/>
    <w:rsid w:val="17EE2964"/>
    <w:rsid w:val="1837112C"/>
    <w:rsid w:val="183D5DB4"/>
    <w:rsid w:val="18CE3E98"/>
    <w:rsid w:val="18F34FE9"/>
    <w:rsid w:val="1937713D"/>
    <w:rsid w:val="19454954"/>
    <w:rsid w:val="19616115"/>
    <w:rsid w:val="19BA1A34"/>
    <w:rsid w:val="19C07DB8"/>
    <w:rsid w:val="1A543308"/>
    <w:rsid w:val="1A5F697C"/>
    <w:rsid w:val="1A806859"/>
    <w:rsid w:val="1B1737C2"/>
    <w:rsid w:val="1B7C55A6"/>
    <w:rsid w:val="1B8F3183"/>
    <w:rsid w:val="1C1B3859"/>
    <w:rsid w:val="1C3B7A0D"/>
    <w:rsid w:val="1CE85FA5"/>
    <w:rsid w:val="1D714E2E"/>
    <w:rsid w:val="1DA37231"/>
    <w:rsid w:val="1E212096"/>
    <w:rsid w:val="1E843F8C"/>
    <w:rsid w:val="1F30420E"/>
    <w:rsid w:val="1F332CA6"/>
    <w:rsid w:val="1F7C2114"/>
    <w:rsid w:val="20667E0B"/>
    <w:rsid w:val="21045435"/>
    <w:rsid w:val="212062B8"/>
    <w:rsid w:val="21E901E5"/>
    <w:rsid w:val="21EC3153"/>
    <w:rsid w:val="22436610"/>
    <w:rsid w:val="225A2AED"/>
    <w:rsid w:val="229D5007"/>
    <w:rsid w:val="23517B9F"/>
    <w:rsid w:val="23531B69"/>
    <w:rsid w:val="23722080"/>
    <w:rsid w:val="23901B0B"/>
    <w:rsid w:val="23AD469F"/>
    <w:rsid w:val="23E32EED"/>
    <w:rsid w:val="241B29BD"/>
    <w:rsid w:val="24537052"/>
    <w:rsid w:val="24580F4B"/>
    <w:rsid w:val="247D50F0"/>
    <w:rsid w:val="24CA19B7"/>
    <w:rsid w:val="251B1B81"/>
    <w:rsid w:val="25673B4A"/>
    <w:rsid w:val="257D2099"/>
    <w:rsid w:val="26AE7BEF"/>
    <w:rsid w:val="26B86355"/>
    <w:rsid w:val="26CA0394"/>
    <w:rsid w:val="26F23447"/>
    <w:rsid w:val="27160DBC"/>
    <w:rsid w:val="271F29EB"/>
    <w:rsid w:val="272B2FF7"/>
    <w:rsid w:val="275639D6"/>
    <w:rsid w:val="277565FA"/>
    <w:rsid w:val="28C7684D"/>
    <w:rsid w:val="29327A61"/>
    <w:rsid w:val="29D11A3A"/>
    <w:rsid w:val="2AB93AA6"/>
    <w:rsid w:val="2AEA62BD"/>
    <w:rsid w:val="2B01748F"/>
    <w:rsid w:val="2BB6077F"/>
    <w:rsid w:val="2C0D4397"/>
    <w:rsid w:val="2C444745"/>
    <w:rsid w:val="2C627A53"/>
    <w:rsid w:val="2C9568A8"/>
    <w:rsid w:val="2CB573F1"/>
    <w:rsid w:val="2D0777CD"/>
    <w:rsid w:val="2D0A715E"/>
    <w:rsid w:val="2D267337"/>
    <w:rsid w:val="2D3C33F3"/>
    <w:rsid w:val="2D6230D5"/>
    <w:rsid w:val="2DA01E4F"/>
    <w:rsid w:val="2DE435CA"/>
    <w:rsid w:val="2E220AB6"/>
    <w:rsid w:val="2F1F413F"/>
    <w:rsid w:val="2FB80344"/>
    <w:rsid w:val="2FC655DD"/>
    <w:rsid w:val="302117A4"/>
    <w:rsid w:val="31523A9B"/>
    <w:rsid w:val="316C1A43"/>
    <w:rsid w:val="31B76CB2"/>
    <w:rsid w:val="31DC1F77"/>
    <w:rsid w:val="32496611"/>
    <w:rsid w:val="32DB1233"/>
    <w:rsid w:val="33DB3D3B"/>
    <w:rsid w:val="3447790D"/>
    <w:rsid w:val="347541FE"/>
    <w:rsid w:val="34AB3AAA"/>
    <w:rsid w:val="352D02A5"/>
    <w:rsid w:val="358132F0"/>
    <w:rsid w:val="35AD0769"/>
    <w:rsid w:val="35C2373A"/>
    <w:rsid w:val="365748C2"/>
    <w:rsid w:val="3677155A"/>
    <w:rsid w:val="37500316"/>
    <w:rsid w:val="37976071"/>
    <w:rsid w:val="37CE6CBE"/>
    <w:rsid w:val="37DC44F4"/>
    <w:rsid w:val="38037262"/>
    <w:rsid w:val="382C05A6"/>
    <w:rsid w:val="389738F6"/>
    <w:rsid w:val="394F03C5"/>
    <w:rsid w:val="395B3B02"/>
    <w:rsid w:val="39D02B2E"/>
    <w:rsid w:val="3AE933E0"/>
    <w:rsid w:val="3AEF5051"/>
    <w:rsid w:val="3B3577E9"/>
    <w:rsid w:val="3B484001"/>
    <w:rsid w:val="3B6461E4"/>
    <w:rsid w:val="3C2C7E1B"/>
    <w:rsid w:val="3C5B3302"/>
    <w:rsid w:val="3C7A386B"/>
    <w:rsid w:val="3CA1704A"/>
    <w:rsid w:val="3CA46F0C"/>
    <w:rsid w:val="3CC17141"/>
    <w:rsid w:val="3CF74EBC"/>
    <w:rsid w:val="3D1E7D8D"/>
    <w:rsid w:val="3D2B75ED"/>
    <w:rsid w:val="3D7B2AA2"/>
    <w:rsid w:val="3DA75927"/>
    <w:rsid w:val="3E010915"/>
    <w:rsid w:val="3E416A82"/>
    <w:rsid w:val="3E475EE3"/>
    <w:rsid w:val="3E7818F7"/>
    <w:rsid w:val="3E7E245B"/>
    <w:rsid w:val="3EEC270C"/>
    <w:rsid w:val="3F1A1019"/>
    <w:rsid w:val="4040553C"/>
    <w:rsid w:val="40B849B4"/>
    <w:rsid w:val="41317A35"/>
    <w:rsid w:val="41A658B3"/>
    <w:rsid w:val="41C07882"/>
    <w:rsid w:val="41CE3B3C"/>
    <w:rsid w:val="41F55EC4"/>
    <w:rsid w:val="42DA63F2"/>
    <w:rsid w:val="433B78D4"/>
    <w:rsid w:val="433D66A7"/>
    <w:rsid w:val="4341771F"/>
    <w:rsid w:val="43EA22E8"/>
    <w:rsid w:val="44290F08"/>
    <w:rsid w:val="44531C67"/>
    <w:rsid w:val="44B948C2"/>
    <w:rsid w:val="45446BC0"/>
    <w:rsid w:val="45E0582E"/>
    <w:rsid w:val="45FC7C2C"/>
    <w:rsid w:val="45FF6F49"/>
    <w:rsid w:val="46216177"/>
    <w:rsid w:val="467B74E1"/>
    <w:rsid w:val="46AA71D5"/>
    <w:rsid w:val="46AD2473"/>
    <w:rsid w:val="46E650A4"/>
    <w:rsid w:val="46F10BCE"/>
    <w:rsid w:val="47060E86"/>
    <w:rsid w:val="47174AD8"/>
    <w:rsid w:val="47817C32"/>
    <w:rsid w:val="478B2DD0"/>
    <w:rsid w:val="48221986"/>
    <w:rsid w:val="482221CC"/>
    <w:rsid w:val="487A5606"/>
    <w:rsid w:val="487F7E32"/>
    <w:rsid w:val="48F366F5"/>
    <w:rsid w:val="491072CC"/>
    <w:rsid w:val="491E6FD5"/>
    <w:rsid w:val="49375FF7"/>
    <w:rsid w:val="49491F05"/>
    <w:rsid w:val="49680CD8"/>
    <w:rsid w:val="4A1F4F37"/>
    <w:rsid w:val="4A413FB3"/>
    <w:rsid w:val="4A434410"/>
    <w:rsid w:val="4A8C102D"/>
    <w:rsid w:val="4B074E64"/>
    <w:rsid w:val="4B4E1E78"/>
    <w:rsid w:val="4BAD064B"/>
    <w:rsid w:val="4BC93EC7"/>
    <w:rsid w:val="4BD45941"/>
    <w:rsid w:val="4C2239E1"/>
    <w:rsid w:val="4C2B56A1"/>
    <w:rsid w:val="4C5E233E"/>
    <w:rsid w:val="4C6E2FA9"/>
    <w:rsid w:val="4C807CB5"/>
    <w:rsid w:val="4D1E3BE2"/>
    <w:rsid w:val="4D564EAD"/>
    <w:rsid w:val="4D6E6660"/>
    <w:rsid w:val="4DB30F95"/>
    <w:rsid w:val="4E5F216E"/>
    <w:rsid w:val="4EA93B36"/>
    <w:rsid w:val="4F036937"/>
    <w:rsid w:val="4F1339B6"/>
    <w:rsid w:val="4F2C4E99"/>
    <w:rsid w:val="4F385E57"/>
    <w:rsid w:val="4F3A40D9"/>
    <w:rsid w:val="4F8446B1"/>
    <w:rsid w:val="4FF23DF7"/>
    <w:rsid w:val="501356D4"/>
    <w:rsid w:val="506B0B24"/>
    <w:rsid w:val="5086614A"/>
    <w:rsid w:val="50B651E7"/>
    <w:rsid w:val="50EC59C5"/>
    <w:rsid w:val="510A5D9D"/>
    <w:rsid w:val="511A2884"/>
    <w:rsid w:val="517E3070"/>
    <w:rsid w:val="51A67184"/>
    <w:rsid w:val="520B348B"/>
    <w:rsid w:val="52224331"/>
    <w:rsid w:val="52742357"/>
    <w:rsid w:val="527E5A0B"/>
    <w:rsid w:val="52B6186F"/>
    <w:rsid w:val="53807968"/>
    <w:rsid w:val="538B6A9E"/>
    <w:rsid w:val="54163485"/>
    <w:rsid w:val="547A16C0"/>
    <w:rsid w:val="54872DC2"/>
    <w:rsid w:val="54F86E70"/>
    <w:rsid w:val="551408A9"/>
    <w:rsid w:val="551E7693"/>
    <w:rsid w:val="55935C72"/>
    <w:rsid w:val="55D47525"/>
    <w:rsid w:val="55F76859"/>
    <w:rsid w:val="56024ECA"/>
    <w:rsid w:val="5616651D"/>
    <w:rsid w:val="561936FA"/>
    <w:rsid w:val="562770A4"/>
    <w:rsid w:val="56356D29"/>
    <w:rsid w:val="566D64C3"/>
    <w:rsid w:val="56D06DE0"/>
    <w:rsid w:val="56F15745"/>
    <w:rsid w:val="573724EE"/>
    <w:rsid w:val="57B27E8F"/>
    <w:rsid w:val="57B36E5A"/>
    <w:rsid w:val="57D35E6E"/>
    <w:rsid w:val="593559A8"/>
    <w:rsid w:val="59983697"/>
    <w:rsid w:val="599967BD"/>
    <w:rsid w:val="5A044C19"/>
    <w:rsid w:val="5A467A01"/>
    <w:rsid w:val="5AF77287"/>
    <w:rsid w:val="5B0B153C"/>
    <w:rsid w:val="5B6111A2"/>
    <w:rsid w:val="5C1A3F40"/>
    <w:rsid w:val="5C661A7D"/>
    <w:rsid w:val="5C6F2629"/>
    <w:rsid w:val="5CEC5DB5"/>
    <w:rsid w:val="5D2F5053"/>
    <w:rsid w:val="5D557CB0"/>
    <w:rsid w:val="5D5E16FE"/>
    <w:rsid w:val="5D783AE6"/>
    <w:rsid w:val="5DEA4DF7"/>
    <w:rsid w:val="5F0F2E7A"/>
    <w:rsid w:val="5F303D09"/>
    <w:rsid w:val="5F490D22"/>
    <w:rsid w:val="5F611D1E"/>
    <w:rsid w:val="60016CCB"/>
    <w:rsid w:val="60756978"/>
    <w:rsid w:val="60831B0B"/>
    <w:rsid w:val="60A642AF"/>
    <w:rsid w:val="60E5102D"/>
    <w:rsid w:val="61455A9A"/>
    <w:rsid w:val="62234A74"/>
    <w:rsid w:val="62C10E48"/>
    <w:rsid w:val="63091321"/>
    <w:rsid w:val="634469E5"/>
    <w:rsid w:val="63F62145"/>
    <w:rsid w:val="64033FC2"/>
    <w:rsid w:val="64333750"/>
    <w:rsid w:val="64BE79ED"/>
    <w:rsid w:val="65563222"/>
    <w:rsid w:val="655959F7"/>
    <w:rsid w:val="656F43DF"/>
    <w:rsid w:val="658265C7"/>
    <w:rsid w:val="65942822"/>
    <w:rsid w:val="664605ED"/>
    <w:rsid w:val="6683129E"/>
    <w:rsid w:val="66C60EAA"/>
    <w:rsid w:val="66F44096"/>
    <w:rsid w:val="674C058C"/>
    <w:rsid w:val="6752567A"/>
    <w:rsid w:val="67680A37"/>
    <w:rsid w:val="67767D66"/>
    <w:rsid w:val="677D276D"/>
    <w:rsid w:val="679E2A06"/>
    <w:rsid w:val="67E40916"/>
    <w:rsid w:val="67F05A7D"/>
    <w:rsid w:val="68F74901"/>
    <w:rsid w:val="697C5BAE"/>
    <w:rsid w:val="69841C69"/>
    <w:rsid w:val="69E81C5B"/>
    <w:rsid w:val="6A0942FC"/>
    <w:rsid w:val="6A161497"/>
    <w:rsid w:val="6A4E2665"/>
    <w:rsid w:val="6A7E25EA"/>
    <w:rsid w:val="6A9C2A7B"/>
    <w:rsid w:val="6AE63945"/>
    <w:rsid w:val="6AED1414"/>
    <w:rsid w:val="6AEE4E99"/>
    <w:rsid w:val="6B2817A6"/>
    <w:rsid w:val="6B513865"/>
    <w:rsid w:val="6B786990"/>
    <w:rsid w:val="6BD14A70"/>
    <w:rsid w:val="6D604233"/>
    <w:rsid w:val="6D682B98"/>
    <w:rsid w:val="6D692221"/>
    <w:rsid w:val="6E5E0AF2"/>
    <w:rsid w:val="6EE64C0C"/>
    <w:rsid w:val="6F2927AF"/>
    <w:rsid w:val="6F330416"/>
    <w:rsid w:val="6F7A6A50"/>
    <w:rsid w:val="70451231"/>
    <w:rsid w:val="70963302"/>
    <w:rsid w:val="70A42689"/>
    <w:rsid w:val="71414E5C"/>
    <w:rsid w:val="717D7256"/>
    <w:rsid w:val="71A968C7"/>
    <w:rsid w:val="721C363A"/>
    <w:rsid w:val="728B0069"/>
    <w:rsid w:val="73397374"/>
    <w:rsid w:val="73515AB4"/>
    <w:rsid w:val="736E1587"/>
    <w:rsid w:val="73A93582"/>
    <w:rsid w:val="73F969DC"/>
    <w:rsid w:val="745C608E"/>
    <w:rsid w:val="75542B67"/>
    <w:rsid w:val="75E10342"/>
    <w:rsid w:val="761C0F14"/>
    <w:rsid w:val="76587B85"/>
    <w:rsid w:val="76674885"/>
    <w:rsid w:val="76852A14"/>
    <w:rsid w:val="76901EE2"/>
    <w:rsid w:val="774921DC"/>
    <w:rsid w:val="775A0DD2"/>
    <w:rsid w:val="77856FDC"/>
    <w:rsid w:val="77AE681F"/>
    <w:rsid w:val="781C51FB"/>
    <w:rsid w:val="78C44E4C"/>
    <w:rsid w:val="78E26444"/>
    <w:rsid w:val="7934036D"/>
    <w:rsid w:val="79C01177"/>
    <w:rsid w:val="79E93803"/>
    <w:rsid w:val="7A102B3D"/>
    <w:rsid w:val="7AA25A60"/>
    <w:rsid w:val="7B152B01"/>
    <w:rsid w:val="7B5A2305"/>
    <w:rsid w:val="7B5F429A"/>
    <w:rsid w:val="7BAA4096"/>
    <w:rsid w:val="7BC6204D"/>
    <w:rsid w:val="7BC847BD"/>
    <w:rsid w:val="7BDF11A0"/>
    <w:rsid w:val="7BF00E78"/>
    <w:rsid w:val="7C567D25"/>
    <w:rsid w:val="7CD74497"/>
    <w:rsid w:val="7D2C0F6C"/>
    <w:rsid w:val="7D8E0949"/>
    <w:rsid w:val="7DAD0FC6"/>
    <w:rsid w:val="7DBD2A81"/>
    <w:rsid w:val="7E5C05A5"/>
    <w:rsid w:val="7E605A20"/>
    <w:rsid w:val="7EAB0D7F"/>
    <w:rsid w:val="7EBC224C"/>
    <w:rsid w:val="7EE63832"/>
    <w:rsid w:val="7EEA1418"/>
    <w:rsid w:val="7F2A0BEF"/>
    <w:rsid w:val="7F381AF2"/>
    <w:rsid w:val="7F392173"/>
    <w:rsid w:val="7F5112E0"/>
    <w:rsid w:val="7F9C6F97"/>
    <w:rsid w:val="7FB34386"/>
    <w:rsid w:val="7FBC3235"/>
    <w:rsid w:val="7FF1126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8">
    <w:name w:val="Default Paragraph Font"/>
    <w:autoRedefine/>
    <w:semiHidden/>
    <w:unhideWhenUsed/>
    <w:qFormat/>
    <w:uiPriority w:val="1"/>
  </w:style>
  <w:style w:type="table" w:default="1" w:styleId="6">
    <w:name w:val="Normal Table"/>
    <w:autoRedefine/>
    <w:semiHidden/>
    <w:unhideWhenUsed/>
    <w:qFormat/>
    <w:uiPriority w:val="99"/>
    <w:tblPr>
      <w:tblCellMar>
        <w:top w:w="0" w:type="dxa"/>
        <w:left w:w="108" w:type="dxa"/>
        <w:bottom w:w="0" w:type="dxa"/>
        <w:right w:w="108" w:type="dxa"/>
      </w:tblCellMar>
    </w:tblPr>
  </w:style>
  <w:style w:type="paragraph" w:styleId="2">
    <w:name w:val="Balloon Text"/>
    <w:basedOn w:val="1"/>
    <w:link w:val="10"/>
    <w:autoRedefine/>
    <w:qFormat/>
    <w:uiPriority w:val="0"/>
    <w:rPr>
      <w:sz w:val="18"/>
      <w:szCs w:val="18"/>
    </w:rPr>
  </w:style>
  <w:style w:type="paragraph" w:styleId="3">
    <w:name w:val="footer"/>
    <w:basedOn w:val="1"/>
    <w:autoRedefine/>
    <w:qFormat/>
    <w:uiPriority w:val="0"/>
    <w:pPr>
      <w:tabs>
        <w:tab w:val="center" w:pos="4153"/>
        <w:tab w:val="right" w:pos="8306"/>
      </w:tabs>
      <w:snapToGrid w:val="0"/>
      <w:jc w:val="left"/>
    </w:pPr>
    <w:rPr>
      <w:sz w:val="18"/>
    </w:rPr>
  </w:style>
  <w:style w:type="paragraph" w:styleId="4">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rFonts w:ascii="Times New Roman" w:hAnsi="Times New Roman"/>
      <w:sz w:val="18"/>
    </w:rPr>
  </w:style>
  <w:style w:type="paragraph" w:styleId="5">
    <w:name w:val="Normal (Web)"/>
    <w:basedOn w:val="1"/>
    <w:autoRedefine/>
    <w:qFormat/>
    <w:uiPriority w:val="99"/>
    <w:pPr>
      <w:spacing w:beforeAutospacing="1" w:afterAutospacing="1"/>
      <w:jc w:val="left"/>
    </w:pPr>
    <w:rPr>
      <w:rFonts w:cs="Times New Roman"/>
      <w:kern w:val="0"/>
      <w:sz w:val="24"/>
    </w:rPr>
  </w:style>
  <w:style w:type="table" w:styleId="7">
    <w:name w:val="Table Grid"/>
    <w:basedOn w:val="6"/>
    <w:autoRedefine/>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paragraph" w:styleId="9">
    <w:name w:val="List Paragraph"/>
    <w:basedOn w:val="1"/>
    <w:autoRedefine/>
    <w:unhideWhenUsed/>
    <w:qFormat/>
    <w:uiPriority w:val="99"/>
    <w:pPr>
      <w:ind w:firstLine="420" w:firstLineChars="200"/>
    </w:pPr>
  </w:style>
  <w:style w:type="character" w:customStyle="1" w:styleId="10">
    <w:name w:val="批注框文本 Char"/>
    <w:basedOn w:val="8"/>
    <w:link w:val="2"/>
    <w:autoRedefine/>
    <w:qFormat/>
    <w:uiPriority w:val="0"/>
    <w:rPr>
      <w:rFonts w:asciiTheme="minorHAnsi" w:hAnsiTheme="minorHAnsi" w:eastAsiaTheme="minorEastAsia" w:cstheme="minorBidi"/>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1074</Words>
  <Characters>1116</Characters>
  <Lines>5</Lines>
  <Paragraphs>1</Paragraphs>
  <TotalTime>3</TotalTime>
  <ScaleCrop>false</ScaleCrop>
  <LinksUpToDate>false</LinksUpToDate>
  <CharactersWithSpaces>1163</CharactersWithSpaces>
  <Application>WPS Office_12.1.0.18912_F1E327BC-269C-435d-A152-05C5408002CA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2019-08-30T05:37:00Z</dcterms:created>
  <dc:creator>王婷</dc:creator>
  <cp:lastModifiedBy>uu</cp:lastModifiedBy>
  <cp:lastPrinted>2022-07-18T06:42:00Z</cp:lastPrinted>
  <dcterms:modified xsi:type="dcterms:W3CDTF">2024-11-25T02:05:37Z</dcterms:modified>
  <cp:revision>245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2052-12.1.0.18912</vt:lpwstr>
  </property>
  <property fmtid="{D5CDD505-2E9C-101B-9397-08002B2CF9AE}" pid="3" name="ICV">
    <vt:lpwstr>F036D956711F4FB1816B1E5F3ED6813F_13</vt:lpwstr>
  </property>
</Properties>
</file>