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人员服务外包项目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鄂尔多斯美术馆</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内蒙古云朗项目管理有限公司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ESZCS-C-F-250006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内蒙古云朗项目管理有限公司</w:t>
      </w:r>
      <w:r>
        <w:rPr>
          <w:rFonts w:ascii="仿宋_GB2312" w:hAnsi="仿宋_GB2312" w:cs="仿宋_GB2312" w:eastAsia="仿宋_GB2312"/>
        </w:rPr>
        <w:t xml:space="preserve"> 受 </w:t>
      </w:r>
      <w:r>
        <w:rPr>
          <w:rFonts w:ascii="仿宋_GB2312" w:hAnsi="仿宋_GB2312" w:cs="仿宋_GB2312" w:eastAsia="仿宋_GB2312"/>
        </w:rPr>
        <w:t>鄂尔多斯美术馆</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人员服务外包项目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人员服务外包项目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ESZCS-C-F-250006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427[2025]00372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1,343,800.00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鄂尔多斯美术馆人员服务外包项目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1,343,800.00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内蒙古云朗项目管理有限公司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内蒙古自治区鄂尔多斯市东胜区内蒙古自治区鄂尔多斯市东胜区巴音门克街道体育街8号煤炭信息大厦22层2201-1室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高君</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15947373777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鄂尔多斯美术馆</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鄂尔多斯市伊金霍洛旗国泰商务广场T6-21层</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边文瑶</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15044886958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代理服务费收费标准：中标成交金额的1%</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鄂尔多斯美术馆</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内蒙古云朗项目管理有限公司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为确保鄂尔多斯美术馆正常运行，部分人员岗位服务外包</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2025年全年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鄂尔多斯美术馆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1、按进度每月支付，达到付款条件起10日，支付合同总金额的100.00%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标的名称：鄂尔多斯美术馆人员服务外包项目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为确保鄂尔多斯美术馆正常运行，需对设计岗、美术史理论岗、美术教师、文字综合、会计等岗位进行外包服务，岗位 人数按15人计算，综合工资6000元/人/月（基本工资+绩效工资+五险+各类补贴） 注：人员岗位、数量及工资待遇可根据实际需求情况进行调整。</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服务方案 (20.0分)</w:t>
            </w:r>
          </w:p>
        </w:tc>
        <w:tc>
          <w:tcPr>
            <w:tcW w:type="dxa" w:w="3115"/>
          </w:tcPr>
          <w:p>
            <w:pPr>
              <w:pStyle w:val="null5"/>
              <w:jc w:val="left"/>
            </w:pPr>
            <w:r>
              <w:rPr>
                <w:rFonts w:ascii="仿宋_GB2312" w:hAnsi="仿宋_GB2312" w:cs="仿宋_GB2312" w:eastAsia="仿宋_GB2312"/>
              </w:rPr>
              <w:t>服务方案主要围绕本项目完整服务方案，服务内容能满足项目需求等方面 ：方案非常优秀，可操作性强，非常符合地域特性、能很好的完成工作任 务，得17-20分；方案优秀，可操作性较强，比较符合地域特性、能很好 的完成工作任务，得13-16分；方案较好，可操作性强，符合地域特性、 能较好的完成工作任务，得9-12分；方案一般，可操作性一般，符合地域 特性、能完成工作任务，得6-8分；方案较差，可操作性较差，基本符合 地域特性、勉强完成工作任务，得3-5分；方案差，可操作性差，没有针 对地域特性、可能影响工作任务的完成，得1-2分；未提供初步服务方案 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应急事件处理方案 (15.0分)</w:t>
            </w:r>
          </w:p>
        </w:tc>
        <w:tc>
          <w:tcPr>
            <w:tcW w:type="dxa" w:w="3115"/>
          </w:tcPr>
          <w:p>
            <w:pPr>
              <w:pStyle w:val="null5"/>
              <w:jc w:val="left"/>
            </w:pPr>
            <w:r>
              <w:rPr>
                <w:rFonts w:ascii="仿宋_GB2312" w:hAnsi="仿宋_GB2312" w:cs="仿宋_GB2312" w:eastAsia="仿宋_GB2312"/>
              </w:rPr>
              <w:t>应急处理方案合理可行、有针对性，优10-15分，良5-9分，一般1-4分， 未提供不得分。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项目服务团队 (10.0分)</w:t>
            </w:r>
          </w:p>
        </w:tc>
        <w:tc>
          <w:tcPr>
            <w:tcW w:type="dxa" w:w="3115"/>
          </w:tcPr>
          <w:p>
            <w:pPr>
              <w:pStyle w:val="null5"/>
              <w:jc w:val="left"/>
            </w:pPr>
            <w:r>
              <w:rPr>
                <w:rFonts w:ascii="仿宋_GB2312" w:hAnsi="仿宋_GB2312" w:cs="仿宋_GB2312" w:eastAsia="仿宋_GB2312"/>
              </w:rPr>
              <w:t>拟投入服务项目组成管理人员综合素质能力及项目服务管理水平分配优秀 得7-10分，良好得4-6分，一般得1-3分。未提供不得分。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质量保障措施 (10.0分)</w:t>
            </w:r>
          </w:p>
        </w:tc>
        <w:tc>
          <w:tcPr>
            <w:tcW w:type="dxa" w:w="3115"/>
          </w:tcPr>
          <w:p>
            <w:pPr>
              <w:pStyle w:val="null5"/>
              <w:jc w:val="left"/>
            </w:pPr>
            <w:r>
              <w:rPr>
                <w:rFonts w:ascii="仿宋_GB2312" w:hAnsi="仿宋_GB2312" w:cs="仿宋_GB2312" w:eastAsia="仿宋_GB2312"/>
              </w:rPr>
              <w:t>具有完善的内部质量保证体系、全过程质量控制管理、质量验收控制等， 且措施具体、详细、可行性强，得7-10分；具备完善质保体系，但质保措 施不具体的得4-6分；质保体系不健全或不具备质保体系的得1-3分。未提 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 (10.0分)</w:t>
            </w:r>
          </w:p>
        </w:tc>
        <w:tc>
          <w:tcPr>
            <w:tcW w:type="dxa" w:w="3115"/>
          </w:tcPr>
          <w:p>
            <w:pPr>
              <w:pStyle w:val="null5"/>
              <w:jc w:val="left"/>
            </w:pPr>
            <w:r>
              <w:rPr>
                <w:rFonts w:ascii="仿宋_GB2312" w:hAnsi="仿宋_GB2312" w:cs="仿宋_GB2312" w:eastAsia="仿宋_GB2312"/>
              </w:rPr>
              <w:t>根据项目特点提出合理、能够切合实际且安全可行，安全性强的计划及承 诺，得7-10分；提出较合理、具有针对性，安全性一般的计划及承诺，得 4-6分；提出较合理、但缺乏针对性，安全性较差的计划及承诺，得1-3分 ；未提供不得分。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 (5.0分)</w:t>
            </w:r>
          </w:p>
        </w:tc>
        <w:tc>
          <w:tcPr>
            <w:tcW w:type="dxa" w:w="3115"/>
          </w:tcPr>
          <w:p>
            <w:pPr>
              <w:pStyle w:val="null5"/>
              <w:jc w:val="left"/>
            </w:pPr>
            <w:r>
              <w:rPr>
                <w:rFonts w:ascii="仿宋_GB2312" w:hAnsi="仿宋_GB2312" w:cs="仿宋_GB2312" w:eastAsia="仿宋_GB2312"/>
              </w:rPr>
              <w:t>服务进度计划安排科学合理、切实可行，得4-5分。服务进度计划安排较 科学合理、较切实可行，得2-3分；服务进度计划安排基本科学合理、基 本切实可行，得1-2分；未提供不得分。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投标人业绩 (15.0分)</w:t>
            </w:r>
          </w:p>
        </w:tc>
        <w:tc>
          <w:tcPr>
            <w:tcW w:type="dxa" w:w="3115"/>
          </w:tcPr>
          <w:p>
            <w:pPr>
              <w:pStyle w:val="null5"/>
              <w:jc w:val="left"/>
            </w:pPr>
            <w:r>
              <w:rPr>
                <w:rFonts w:ascii="仿宋_GB2312" w:hAnsi="仿宋_GB2312" w:cs="仿宋_GB2312" w:eastAsia="仿宋_GB2312"/>
              </w:rPr>
              <w:t>根据投标企业2021年1月1日至今（投标截止时间）承担过类似服务业绩 ，以合同为准，每提供一项得5分，满分15分，响应性文件中须附合同扫 描件。</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 (5.0分)</w:t>
            </w:r>
          </w:p>
        </w:tc>
        <w:tc>
          <w:tcPr>
            <w:tcW w:type="dxa" w:w="3115"/>
          </w:tcPr>
          <w:p>
            <w:pPr>
              <w:pStyle w:val="null5"/>
              <w:jc w:val="left"/>
            </w:pPr>
            <w:r>
              <w:rPr>
                <w:rFonts w:ascii="仿宋_GB2312" w:hAnsi="仿宋_GB2312" w:cs="仿宋_GB2312" w:eastAsia="仿宋_GB2312"/>
              </w:rPr>
              <w:t>拟派项目负责人持有人力资源专业中级（含）以上职称证书得5分。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