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2025暖城鄂尔多斯元宵晚会</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竞争性谈判文件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鄂尔多斯市文化和旅游局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鄂尔多斯市启道工程项目管理有限责任公司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ESZCS-J-F-250007</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jc w:val="left"/>
      </w:pPr>
      <w:r>
        <w:rPr>
          <w:rFonts w:ascii="仿宋_GB2312" w:hAnsi="仿宋_GB2312" w:cs="仿宋_GB2312" w:eastAsia="仿宋_GB2312"/>
        </w:rPr>
        <w:t>第一章 谈判邀请</w:t>
      </w:r>
    </w:p>
    <w:p>
      <w:pPr>
        <w:pStyle w:val="null5"/>
        <w:jc w:val="left"/>
      </w:pPr>
      <w:r>
        <w:rPr>
          <w:rFonts w:ascii="仿宋_GB2312" w:hAnsi="仿宋_GB2312" w:cs="仿宋_GB2312" w:eastAsia="仿宋_GB2312"/>
        </w:rPr>
        <w:t>第二章 供应商须知</w:t>
      </w:r>
    </w:p>
    <w:p>
      <w:pPr>
        <w:pStyle w:val="null5"/>
        <w:jc w:val="left"/>
      </w:pPr>
      <w:r>
        <w:rPr>
          <w:rFonts w:ascii="仿宋_GB2312" w:hAnsi="仿宋_GB2312" w:cs="仿宋_GB2312" w:eastAsia="仿宋_GB2312"/>
        </w:rPr>
        <w:t>第三章 采购内容与技术要求</w:t>
      </w:r>
    </w:p>
    <w:p>
      <w:pPr>
        <w:pStyle w:val="null5"/>
        <w:jc w:val="left"/>
      </w:pPr>
      <w:r>
        <w:rPr>
          <w:rFonts w:ascii="仿宋_GB2312" w:hAnsi="仿宋_GB2312" w:cs="仿宋_GB2312" w:eastAsia="仿宋_GB2312"/>
        </w:rPr>
        <w:t>第四章 供应商资格证明及相关文件要求</w:t>
      </w:r>
    </w:p>
    <w:p>
      <w:pPr>
        <w:pStyle w:val="null5"/>
        <w:jc w:val="left"/>
      </w:pPr>
      <w:r>
        <w:rPr>
          <w:rFonts w:ascii="仿宋_GB2312" w:hAnsi="仿宋_GB2312" w:cs="仿宋_GB2312" w:eastAsia="仿宋_GB2312"/>
        </w:rPr>
        <w:t>第五章 评审</w:t>
      </w:r>
    </w:p>
    <w:p>
      <w:pPr>
        <w:pStyle w:val="null5"/>
        <w:jc w:val="left"/>
      </w:pPr>
      <w:r>
        <w:rPr>
          <w:rFonts w:ascii="仿宋_GB2312" w:hAnsi="仿宋_GB2312" w:cs="仿宋_GB2312" w:eastAsia="仿宋_GB2312"/>
        </w:rPr>
        <w:t>第六章 合同与验收</w:t>
      </w:r>
    </w:p>
    <w:p>
      <w:pPr>
        <w:pStyle w:val="null5"/>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谈判邀请</w:t>
      </w:r>
    </w:p>
    <w:p>
      <w:pPr>
        <w:pStyle w:val="null5"/>
        <w:ind w:firstLine="480"/>
        <w:jc w:val="left"/>
      </w:pPr>
      <w:r>
        <w:rPr>
          <w:rFonts w:ascii="仿宋_GB2312" w:hAnsi="仿宋_GB2312" w:cs="仿宋_GB2312" w:eastAsia="仿宋_GB2312"/>
        </w:rPr>
        <w:t>鄂尔多斯市启道工程项目管理有限责任公司</w:t>
      </w:r>
      <w:r>
        <w:rPr>
          <w:rFonts w:ascii="仿宋_GB2312" w:hAnsi="仿宋_GB2312" w:cs="仿宋_GB2312" w:eastAsia="仿宋_GB2312"/>
        </w:rPr>
        <w:t xml:space="preserve"> 受 </w:t>
      </w:r>
      <w:r>
        <w:rPr>
          <w:rFonts w:ascii="仿宋_GB2312" w:hAnsi="仿宋_GB2312" w:cs="仿宋_GB2312" w:eastAsia="仿宋_GB2312"/>
        </w:rPr>
        <w:t>鄂尔多斯市文化和旅游局</w:t>
      </w:r>
      <w:r>
        <w:rPr>
          <w:rFonts w:ascii="仿宋_GB2312" w:hAnsi="仿宋_GB2312" w:cs="仿宋_GB2312" w:eastAsia="仿宋_GB2312"/>
        </w:rPr>
        <w:t xml:space="preserve"> 委托，采用竞争性谈判方式组织采购 </w:t>
      </w:r>
      <w:r>
        <w:rPr>
          <w:rFonts w:ascii="仿宋_GB2312" w:hAnsi="仿宋_GB2312" w:cs="仿宋_GB2312" w:eastAsia="仿宋_GB2312"/>
        </w:rPr>
        <w:t>2025暖城鄂尔多斯元宵晚会</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2025暖城鄂尔多斯元宵晚会</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ESZCS-J-F-250007</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427[2025]00378</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3,210,000.00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2025暖城鄂尔多斯元宵晚会</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3,210,000.00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租赁和商务服务业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1、供应商业绩要求：2022年01月01日至今（以签订合同时间为准），供应商至少提供一项类似项目（类似项目是指元宵晚会或春节联欢晚会等大型主题晚会）服务业绩（响应文件中须附合同扫描件）。</w:t>
      </w:r>
    </w:p>
    <w:p>
      <w:pPr>
        <w:pStyle w:val="null5"/>
        <w:jc w:val="left"/>
        <w:outlineLvl w:val="2"/>
      </w:pPr>
      <w:r>
        <w:rPr>
          <w:rFonts w:ascii="仿宋_GB2312" w:hAnsi="仿宋_GB2312" w:cs="仿宋_GB2312" w:eastAsia="仿宋_GB2312"/>
          <w:sz w:val="28"/>
          <w:b/>
        </w:rPr>
        <w:t>三.获取谈判文件的时间、地点、方式</w:t>
      </w:r>
    </w:p>
    <w:p>
      <w:pPr>
        <w:pStyle w:val="null5"/>
        <w:ind w:firstLine="480"/>
        <w:jc w:val="left"/>
      </w:pPr>
      <w:r>
        <w:rPr>
          <w:rFonts w:ascii="仿宋_GB2312" w:hAnsi="仿宋_GB2312" w:cs="仿宋_GB2312" w:eastAsia="仿宋_GB2312"/>
        </w:rPr>
        <w:t>详见竞争性谈判公告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四.谈判文件售价</w:t>
      </w:r>
    </w:p>
    <w:p>
      <w:pPr>
        <w:pStyle w:val="null5"/>
        <w:ind w:firstLine="480"/>
        <w:jc w:val="left"/>
      </w:pPr>
      <w:r>
        <w:rPr>
          <w:rFonts w:ascii="仿宋_GB2312" w:hAnsi="仿宋_GB2312" w:cs="仿宋_GB2312" w:eastAsia="仿宋_GB2312"/>
        </w:rPr>
        <w:t>本次谈判文件的售价为0元人民币。</w:t>
      </w:r>
    </w:p>
    <w:p>
      <w:pPr>
        <w:pStyle w:val="null5"/>
        <w:jc w:val="left"/>
        <w:outlineLvl w:val="2"/>
      </w:pPr>
      <w:r>
        <w:rPr>
          <w:rFonts w:ascii="仿宋_GB2312" w:hAnsi="仿宋_GB2312" w:cs="仿宋_GB2312" w:eastAsia="仿宋_GB2312"/>
          <w:sz w:val="28"/>
          <w:b/>
        </w:rPr>
        <w:t>五.响应文件提交的截止时间、开启时间及地点</w:t>
      </w:r>
    </w:p>
    <w:p>
      <w:pPr>
        <w:pStyle w:val="null5"/>
        <w:ind w:firstLine="480"/>
        <w:jc w:val="left"/>
      </w:pPr>
      <w:r>
        <w:rPr>
          <w:rFonts w:ascii="仿宋_GB2312" w:hAnsi="仿宋_GB2312" w:cs="仿宋_GB2312" w:eastAsia="仿宋_GB2312"/>
        </w:rPr>
        <w:t>详见竞争性谈判公告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鄂尔多斯市启道工程项目管理有限责任公司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内蒙古自治区鄂尔多斯市东胜区</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15804802840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鄂尔多斯市文化和旅游局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国泰商务广场塔6-1902</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史美清</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15804898886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竞争性谈判</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采购包1：最低评标价法</w:t>
            </w:r>
          </w:p>
          <w:p>
            <w:pPr>
              <w:pStyle w:val="null5"/>
              <w:jc w:val="left"/>
            </w:pPr>
            <w:r>
              <w:rPr>
                <w:rFonts w:ascii="仿宋_GB2312" w:hAnsi="仿宋_GB2312" w:cs="仿宋_GB2312" w:eastAsia="仿宋_GB2312"/>
              </w:rPr>
              <w:t xml:space="preserve"> 根据质量和服务均能满足采购文件实质性响应要求且最后报价最低的原则确定成交供应商。</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获取谈判文件时间</w:t>
            </w:r>
          </w:p>
        </w:tc>
        <w:tc>
          <w:tcPr>
            <w:tcW w:type="dxa" w:w="4372"/>
          </w:tcPr>
          <w:p>
            <w:pPr>
              <w:pStyle w:val="null5"/>
              <w:jc w:val="left"/>
            </w:pPr>
            <w:r>
              <w:rPr>
                <w:rFonts w:ascii="仿宋_GB2312" w:hAnsi="仿宋_GB2312" w:cs="仿宋_GB2312" w:eastAsia="仿宋_GB2312"/>
              </w:rPr>
              <w:t>详见竞争性谈判公告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详见竞争性谈判公告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在响应文件提交截止时间前上传至“内蒙古自治区政府采购网-政府采购云平台”。技术支持电话：400-0471-010转2键</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代理服务费收费标准：按中标价的1.5%收取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兼投不兼中规则</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是否专门面向中小企业采购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23</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二.谈判须知</w:t>
      </w:r>
    </w:p>
    <w:p>
      <w:pPr>
        <w:pStyle w:val="null5"/>
        <w:ind w:firstLine="480"/>
        <w:jc w:val="left"/>
      </w:pPr>
      <w:r>
        <w:rPr>
          <w:rFonts w:ascii="仿宋_GB2312" w:hAnsi="仿宋_GB2312" w:cs="仿宋_GB2312" w:eastAsia="仿宋_GB2312"/>
        </w:rPr>
        <w:t>1.竞争性谈判采取网上响应方式，操作流程如下：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谈判文件，并按照谈判文件的要求制作、上传电子响应文件。</w:t>
      </w:r>
    </w:p>
    <w:p>
      <w:pPr>
        <w:pStyle w:val="null5"/>
        <w:ind w:firstLine="480"/>
        <w:jc w:val="left"/>
      </w:pPr>
      <w:r>
        <w:rPr>
          <w:rFonts w:ascii="仿宋_GB2312" w:hAnsi="仿宋_GB2312" w:cs="仿宋_GB2312" w:eastAsia="仿宋_GB2312"/>
        </w:rPr>
        <w:t>2.保证金</w:t>
      </w:r>
    </w:p>
    <w:p>
      <w:pPr>
        <w:pStyle w:val="null5"/>
        <w:ind w:firstLine="480"/>
        <w:jc w:val="left"/>
      </w:pPr>
      <w:r>
        <w:rPr>
          <w:rFonts w:ascii="仿宋_GB2312" w:hAnsi="仿宋_GB2312" w:cs="仿宋_GB2312" w:eastAsia="仿宋_GB2312"/>
        </w:rPr>
        <w:t>2.1保证金缴纳（如需缴纳保证金）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保证金足额汇入以上账户，并自行承担因汇错保证金而产生的一切后果。供应商在转账或电汇的凭证上应按照“项目编号：***、采购包：***的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2.1.4缴纳保证金时间以保证金到账时间为准，由于保证金到账需要一定时间，请供应商在响应文件开启时间前及早缴纳。</w:t>
      </w:r>
    </w:p>
    <w:p>
      <w:pPr>
        <w:pStyle w:val="null5"/>
        <w:ind w:firstLine="480"/>
        <w:jc w:val="left"/>
      </w:pPr>
      <w:r>
        <w:rPr>
          <w:rFonts w:ascii="仿宋_GB2312" w:hAnsi="仿宋_GB2312" w:cs="仿宋_GB2312" w:eastAsia="仿宋_GB2312"/>
        </w:rPr>
        <w:t>2.2保证金的退还</w:t>
      </w:r>
    </w:p>
    <w:p>
      <w:pPr>
        <w:pStyle w:val="null5"/>
        <w:ind w:firstLine="480"/>
        <w:jc w:val="left"/>
      </w:pPr>
      <w:r>
        <w:rPr>
          <w:rFonts w:ascii="仿宋_GB2312" w:hAnsi="仿宋_GB2312" w:cs="仿宋_GB2312" w:eastAsia="仿宋_GB2312"/>
        </w:rPr>
        <w:t>2.2.1已提交响应文件的供应商，在提交最后报价之前，可以根据谈判情况退出谈判。采购人、采购代理机构应当退还退出谈判的供应商的保证金。未成交供应商的保证金应当在成交通知书发出后5个工作日内退还，成交供应商的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（3）除因不可抗力或谈判文件认可的情形以外，成交供应商不与采购人签订合同的；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供应商的法定代表人或其授权代表应当按照本项目竞争性谈判公告载明的时间等要求参加竞争性谈判，在响应文件开启时间前30分钟，应当提前登录电子交易系统确认联系人姓名与联系电话。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竞争性谈判公告载明的时间和地点参加竞争性谈判。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（2）供应商未按谈判文件要求提供“备用标书”的；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本谈判文件依据《中华人民共和国政府采购法》《中华人民共和国政府采购法实施条例》和《政府采购非招标采购方式管理办法》（财政部令第74号）及国家和自治区有关法律、法规、规章制度编制。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供应商应仔细阅读本项目信息公告及谈判文件的所有内容（包括澄清或者修改），按照谈判文件要求以及格式编制响应文件，并保证其真实性，否则一切后果自负。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本谈判文件仅适用于本次竞争性谈判公告中所涉及的项目和内容。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供应商应承担所有与准备和参加竞争性谈判有关的费用。不论竞争性谈判结果如何，采购人或采购代理机构均无义务和责任承担相关费用。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4.1“采购人”是指依法进行政府采购的国家机关、事业单位、团体组织。本谈判文件的采购人特指 </w:t>
      </w:r>
      <w:r>
        <w:rPr>
          <w:rFonts w:ascii="仿宋_GB2312" w:hAnsi="仿宋_GB2312" w:cs="仿宋_GB2312" w:eastAsia="仿宋_GB2312"/>
        </w:rPr>
        <w:t>鄂尔多斯市文化和旅游局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4.2“采购代理机构”是指集中采购机构和集中采购机构以外的采购代理机构。本谈判文件的采购代理机构特指 </w:t>
      </w:r>
      <w:r>
        <w:rPr>
          <w:rFonts w:ascii="仿宋_GB2312" w:hAnsi="仿宋_GB2312" w:cs="仿宋_GB2312" w:eastAsia="仿宋_GB2312"/>
        </w:rPr>
        <w:t>鄂尔多斯市启道工程项目管理有限责任公司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4.4“谈判小组”由采购人代表和评审专家组成。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5.1符合本谈判文件规定的资格要求，并按照要求提供相关证明材料。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四.谈判文件的澄清或者修改</w:t>
      </w:r>
    </w:p>
    <w:p>
      <w:pPr>
        <w:pStyle w:val="null5"/>
        <w:ind w:firstLine="480"/>
        <w:jc w:val="left"/>
      </w:pPr>
      <w:r>
        <w:rPr>
          <w:rFonts w:ascii="仿宋_GB2312" w:hAnsi="仿宋_GB2312" w:cs="仿宋_GB2312" w:eastAsia="仿宋_GB2312"/>
        </w:rPr>
        <w:t>提交首次响应文件截止之日前，采购人、采购代理机构或者谈判小组可以对已发出的谈判文件进行必要的澄清或者修改，澄清或者修改的内容作为谈判文件的组成部分。澄清或者修改的内容可能影响响应文件编制的，采购人、采购代理机构或者谈判小组应当在提交首次响应文件截止之日3个工作日前，在“内蒙古自治区政府采购网”上发布更正公告进行通知，不足3个工作日的，应当顺延提交首次响应文件截止之日。更正公告的内容为谈判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响应文件应按照谈判文件第七章“响应文件格式与要求”进行编写，可以增加附页，并作为响应文件的组成部分。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2.1供应商应按照第三章“采购内容与技术要求”进行报价。报价中不得包含谈判文件要求以外的内容，否则，在评审时不予核减。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4.样品</w:t>
      </w:r>
    </w:p>
    <w:p>
      <w:pPr>
        <w:pStyle w:val="null5"/>
        <w:ind w:firstLine="480"/>
        <w:jc w:val="left"/>
      </w:pPr>
      <w:r>
        <w:rPr>
          <w:rFonts w:ascii="仿宋_GB2312" w:hAnsi="仿宋_GB2312" w:cs="仿宋_GB2312" w:eastAsia="仿宋_GB2312"/>
        </w:rPr>
        <w:t>4.1谈判文件规定供应商提交样品的，样品属于响应文件的组成部分。样品的生产、运输、安装、保全等一切费用由供应商自理。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4.2响应文件开启前，供应商应将样品送达至指定地点，按要求摆放并做好展示。若需要现场演示的，供应商应提前做好演示准备（包括演示设备）。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4.3采购活动结束后，对于未成交供应商提供的样品，应当及时退还或者经未成交供应商同意后自行处理；对于成交供应商提供的样品，应当按照谈判文件的规定进行保管、封存，并作为履约验收的参考。</w:t>
      </w:r>
    </w:p>
    <w:p>
      <w:pPr>
        <w:pStyle w:val="null5"/>
        <w:jc w:val="left"/>
        <w:outlineLvl w:val="2"/>
      </w:pPr>
      <w:r>
        <w:rPr>
          <w:rFonts w:ascii="仿宋_GB2312" w:hAnsi="仿宋_GB2312" w:cs="仿宋_GB2312" w:eastAsia="仿宋_GB2312"/>
          <w:sz w:val="28"/>
          <w:b/>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（3）供应商对已提交的加密文件进行解密，由采购人或者采购代理机构工作人员宣布供应商名称和谈判文件规定需要宣布的其他内容；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r>
        <w:br/>
      </w:r>
      <w:r>
        <w:rPr>
          <w:rFonts w:ascii="仿宋_GB2312" w:hAnsi="仿宋_GB2312" w:cs="仿宋_GB2312" w:eastAsia="仿宋_GB2312"/>
        </w:rPr>
        <w:t xml:space="preserve"> 接收质疑函的联系部门、联系电话、通讯地址（详见第一章 谈判邀请）。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ind w:firstLine="480"/>
        <w:jc w:val="left"/>
      </w:pPr>
      <w:r>
        <w:rPr>
          <w:rFonts w:ascii="仿宋_GB2312" w:hAnsi="仿宋_GB2312" w:cs="仿宋_GB2312" w:eastAsia="仿宋_GB2312"/>
        </w:rPr>
        <w:t xml:space="preserve"> 为深入贯彻落实党的二十大精神和习近平文化思想，聚焦铸牢中华民族共同体意识，按照自治区关于实施北疆文化建设提升行动安排部署及市委、市政府关于做好春节、元宵节相关工作要求，立足鄂尔多斯丰厚的文化资源，打造北疆文化品牌，讲好暖城鄂尔多斯故事，切实增强人民群众获得感幸福感。市文旅局拟于2025年2月12日（农历正月十五）晚在鄂尔多斯大剧院举办2025暖城鄂尔多斯元宵晚会。 为了更好的策划实现本场晚会的创作需求，为了更好的舞台呈现，保证节目效果、音乐效果和演出效果。满足晚会的现场效果和直播录制，舞美设计、场地布置、提供视频设备及音响设备、人员技术、氛围营造等要求。</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合同签订后5日内完成</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鄂尔多斯大剧院</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1、合同签订并生效后，成交人向采购人出具等额发票，采购人支付合同价60%的费用，达到付款条件起5日，支付合同总金额的60.00%</w:t>
            </w:r>
          </w:p>
          <w:p>
            <w:pPr>
              <w:pStyle w:val="null5"/>
              <w:jc w:val="left"/>
            </w:pPr>
            <w:r>
              <w:rPr>
                <w:rFonts w:ascii="仿宋_GB2312" w:hAnsi="仿宋_GB2312" w:cs="仿宋_GB2312" w:eastAsia="仿宋_GB2312"/>
              </w:rPr>
              <w:t>2、晚会演出结束并经验收合格后，成交人向采购人出具等额发票，采购人支付合同价40%的费用，达到付款条件起5日，支付合同总金额的40.00%</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标的名称：2025暖城鄂尔多斯元宵晚会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4"/>
              </w:rPr>
              <w:t>按照项目概况要求对</w:t>
            </w:r>
            <w:r>
              <w:rPr>
                <w:rFonts w:ascii="仿宋_GB2312" w:hAnsi="仿宋_GB2312" w:cs="仿宋_GB2312" w:eastAsia="仿宋_GB2312"/>
                <w:sz w:val="24"/>
              </w:rPr>
              <w:t>元宵晚会</w:t>
            </w:r>
            <w:r>
              <w:rPr>
                <w:rFonts w:ascii="仿宋_GB2312" w:hAnsi="仿宋_GB2312" w:cs="仿宋_GB2312" w:eastAsia="仿宋_GB2312"/>
                <w:sz w:val="24"/>
              </w:rPr>
              <w:t>进行整体</w:t>
            </w:r>
            <w:r>
              <w:rPr>
                <w:rFonts w:ascii="仿宋_GB2312" w:hAnsi="仿宋_GB2312" w:cs="仿宋_GB2312" w:eastAsia="仿宋_GB2312"/>
                <w:sz w:val="24"/>
              </w:rPr>
              <w:t>设计并</w:t>
            </w:r>
            <w:r>
              <w:rPr>
                <w:rFonts w:ascii="仿宋_GB2312" w:hAnsi="仿宋_GB2312" w:cs="仿宋_GB2312" w:eastAsia="仿宋_GB2312"/>
                <w:sz w:val="24"/>
              </w:rPr>
              <w:t>实施，负责组建专业的策划、指导、执行团队并提供具体的执行方案。</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4"/>
              </w:rPr>
              <w:t>供应商负责做好</w:t>
            </w:r>
            <w:r>
              <w:rPr>
                <w:rFonts w:ascii="仿宋_GB2312" w:hAnsi="仿宋_GB2312" w:cs="仿宋_GB2312" w:eastAsia="仿宋_GB2312"/>
                <w:sz w:val="24"/>
              </w:rPr>
              <w:t>本次元宵晚会</w:t>
            </w:r>
            <w:r>
              <w:rPr>
                <w:rFonts w:ascii="仿宋_GB2312" w:hAnsi="仿宋_GB2312" w:cs="仿宋_GB2312" w:eastAsia="仿宋_GB2312"/>
                <w:sz w:val="24"/>
              </w:rPr>
              <w:t>活动策划、统筹、排练、执行等工作。</w:t>
            </w:r>
          </w:p>
        </w:tc>
      </w:tr>
      <w:tr>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4"/>
              </w:rPr>
              <w:t>晚会总时长约</w:t>
            </w:r>
            <w:r>
              <w:rPr>
                <w:rFonts w:ascii="仿宋_GB2312" w:hAnsi="仿宋_GB2312" w:cs="仿宋_GB2312" w:eastAsia="仿宋_GB2312"/>
                <w:sz w:val="24"/>
              </w:rPr>
              <w:t>9</w:t>
            </w:r>
            <w:r>
              <w:rPr>
                <w:rFonts w:ascii="仿宋_GB2312" w:hAnsi="仿宋_GB2312" w:cs="仿宋_GB2312" w:eastAsia="仿宋_GB2312"/>
                <w:sz w:val="24"/>
              </w:rPr>
              <w:t>0分钟。节目内容包括我市专业文艺院团精品剧节目，鄂尔多斯短调民歌、漫瀚调、二人台等地方戏曲，既体现传统与现代，又体现底蕴与创新，充分展现鄂尔多斯市地域特色与文化内涵，满足市民群众多样化的文化需求，营造欢乐祥和的节日氛围</w:t>
            </w:r>
            <w:r>
              <w:rPr>
                <w:rFonts w:ascii="仿宋_GB2312" w:hAnsi="仿宋_GB2312" w:cs="仿宋_GB2312" w:eastAsia="仿宋_GB2312"/>
                <w:sz w:val="24"/>
              </w:rPr>
              <w:t>。</w:t>
            </w:r>
          </w:p>
        </w:tc>
      </w:tr>
      <w:tr>
        <w:tc>
          <w:tcPr>
            <w:tcW w:type="dxa" w:w="2769"/>
          </w:tcPr>
          <w:p>
            <w:pPr>
              <w:pStyle w:val="null5"/>
              <w:jc w:val="left"/>
            </w:pPr>
            <w:r>
              <w:rPr>
                <w:rFonts w:ascii="仿宋_GB2312" w:hAnsi="仿宋_GB2312" w:cs="仿宋_GB2312" w:eastAsia="仿宋_GB2312"/>
              </w:rPr>
              <w:t>4</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4"/>
              </w:rPr>
              <w:t>供应商负责</w:t>
            </w:r>
            <w:r>
              <w:rPr>
                <w:rFonts w:ascii="仿宋_GB2312" w:hAnsi="仿宋_GB2312" w:cs="仿宋_GB2312" w:eastAsia="仿宋_GB2312"/>
                <w:sz w:val="24"/>
              </w:rPr>
              <w:t>晚会</w:t>
            </w:r>
            <w:r>
              <w:rPr>
                <w:rFonts w:ascii="仿宋_GB2312" w:hAnsi="仿宋_GB2312" w:cs="仿宋_GB2312" w:eastAsia="仿宋_GB2312"/>
                <w:sz w:val="24"/>
              </w:rPr>
              <w:t>舞美设计和制作工作。包括</w:t>
            </w:r>
            <w:r>
              <w:rPr>
                <w:rFonts w:ascii="仿宋_GB2312" w:hAnsi="仿宋_GB2312" w:cs="仿宋_GB2312" w:eastAsia="仿宋_GB2312"/>
                <w:sz w:val="24"/>
              </w:rPr>
              <w:t>：</w:t>
            </w:r>
            <w:r>
              <w:rPr>
                <w:rFonts w:ascii="仿宋_GB2312" w:hAnsi="仿宋_GB2312" w:cs="仿宋_GB2312" w:eastAsia="仿宋_GB2312"/>
                <w:sz w:val="24"/>
              </w:rPr>
              <w:t>舞美</w:t>
            </w:r>
            <w:r>
              <w:rPr>
                <w:rFonts w:ascii="仿宋_GB2312" w:hAnsi="仿宋_GB2312" w:cs="仿宋_GB2312" w:eastAsia="仿宋_GB2312"/>
                <w:sz w:val="24"/>
              </w:rPr>
              <w:t>、</w:t>
            </w:r>
            <w:r>
              <w:rPr>
                <w:rFonts w:ascii="仿宋_GB2312" w:hAnsi="仿宋_GB2312" w:cs="仿宋_GB2312" w:eastAsia="仿宋_GB2312"/>
                <w:sz w:val="24"/>
              </w:rPr>
              <w:t>视频设备</w:t>
            </w:r>
            <w:r>
              <w:rPr>
                <w:rFonts w:ascii="仿宋_GB2312" w:hAnsi="仿宋_GB2312" w:cs="仿宋_GB2312" w:eastAsia="仿宋_GB2312"/>
                <w:sz w:val="24"/>
              </w:rPr>
              <w:t>、</w:t>
            </w:r>
            <w:r>
              <w:rPr>
                <w:rFonts w:ascii="仿宋_GB2312" w:hAnsi="仿宋_GB2312" w:cs="仿宋_GB2312" w:eastAsia="仿宋_GB2312"/>
                <w:sz w:val="24"/>
              </w:rPr>
              <w:t>音响设备</w:t>
            </w:r>
            <w:r>
              <w:rPr>
                <w:rFonts w:ascii="仿宋_GB2312" w:hAnsi="仿宋_GB2312" w:cs="仿宋_GB2312" w:eastAsia="仿宋_GB2312"/>
                <w:sz w:val="24"/>
              </w:rPr>
              <w:t>、</w:t>
            </w:r>
            <w:r>
              <w:rPr>
                <w:rFonts w:ascii="仿宋_GB2312" w:hAnsi="仿宋_GB2312" w:cs="仿宋_GB2312" w:eastAsia="仿宋_GB2312"/>
                <w:sz w:val="24"/>
              </w:rPr>
              <w:t>激光设备</w:t>
            </w:r>
            <w:r>
              <w:rPr>
                <w:rFonts w:ascii="仿宋_GB2312" w:hAnsi="仿宋_GB2312" w:cs="仿宋_GB2312" w:eastAsia="仿宋_GB2312"/>
                <w:sz w:val="24"/>
              </w:rPr>
              <w:t>。</w:t>
            </w:r>
          </w:p>
        </w:tc>
      </w:tr>
      <w:tr>
        <w:tc>
          <w:tcPr>
            <w:tcW w:type="dxa" w:w="2769"/>
          </w:tcPr>
          <w:p>
            <w:pPr>
              <w:pStyle w:val="null5"/>
              <w:jc w:val="left"/>
            </w:pPr>
            <w:r>
              <w:rPr>
                <w:rFonts w:ascii="仿宋_GB2312" w:hAnsi="仿宋_GB2312" w:cs="仿宋_GB2312" w:eastAsia="仿宋_GB2312"/>
              </w:rPr>
              <w:t>5</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4"/>
              </w:rPr>
              <w:t>供应商负责提供全部</w:t>
            </w:r>
            <w:r>
              <w:rPr>
                <w:rFonts w:ascii="仿宋_GB2312" w:hAnsi="仿宋_GB2312" w:cs="仿宋_GB2312" w:eastAsia="仿宋_GB2312"/>
                <w:sz w:val="24"/>
              </w:rPr>
              <w:t>技术</w:t>
            </w:r>
            <w:r>
              <w:rPr>
                <w:rFonts w:ascii="仿宋_GB2312" w:hAnsi="仿宋_GB2312" w:cs="仿宋_GB2312" w:eastAsia="仿宋_GB2312"/>
                <w:sz w:val="24"/>
              </w:rPr>
              <w:t>人员交通食宿</w:t>
            </w:r>
            <w:r>
              <w:rPr>
                <w:rFonts w:ascii="仿宋_GB2312" w:hAnsi="仿宋_GB2312" w:cs="仿宋_GB2312" w:eastAsia="仿宋_GB2312"/>
                <w:sz w:val="24"/>
              </w:rPr>
              <w:t>等费用</w:t>
            </w:r>
            <w:r>
              <w:rPr>
                <w:rFonts w:ascii="仿宋_GB2312" w:hAnsi="仿宋_GB2312" w:cs="仿宋_GB2312" w:eastAsia="仿宋_GB2312"/>
                <w:sz w:val="24"/>
              </w:rPr>
              <w:t>。</w:t>
            </w:r>
          </w:p>
        </w:tc>
      </w:tr>
      <w:tr>
        <w:tc>
          <w:tcPr>
            <w:tcW w:type="dxa" w:w="2769"/>
          </w:tcPr>
          <w:p>
            <w:pPr>
              <w:pStyle w:val="null5"/>
              <w:jc w:val="left"/>
            </w:pPr>
            <w:r>
              <w:rPr>
                <w:rFonts w:ascii="仿宋_GB2312" w:hAnsi="仿宋_GB2312" w:cs="仿宋_GB2312" w:eastAsia="仿宋_GB2312"/>
              </w:rPr>
              <w:t>6</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4"/>
              </w:rPr>
              <w:t>供应商负责按照要求对</w:t>
            </w:r>
            <w:r>
              <w:rPr>
                <w:rFonts w:ascii="仿宋_GB2312" w:hAnsi="仿宋_GB2312" w:cs="仿宋_GB2312" w:eastAsia="仿宋_GB2312"/>
                <w:sz w:val="24"/>
              </w:rPr>
              <w:t>晚会</w:t>
            </w:r>
            <w:r>
              <w:rPr>
                <w:rFonts w:ascii="仿宋_GB2312" w:hAnsi="仿宋_GB2312" w:cs="仿宋_GB2312" w:eastAsia="仿宋_GB2312"/>
                <w:sz w:val="24"/>
              </w:rPr>
              <w:t>活动进行实况全程</w:t>
            </w:r>
            <w:r>
              <w:rPr>
                <w:rFonts w:ascii="仿宋_GB2312" w:hAnsi="仿宋_GB2312" w:cs="仿宋_GB2312" w:eastAsia="仿宋_GB2312"/>
                <w:sz w:val="24"/>
              </w:rPr>
              <w:t>直播</w:t>
            </w:r>
            <w:r>
              <w:rPr>
                <w:rFonts w:ascii="仿宋_GB2312" w:hAnsi="仿宋_GB2312" w:cs="仿宋_GB2312" w:eastAsia="仿宋_GB2312"/>
                <w:sz w:val="24"/>
              </w:rPr>
              <w:t>录制，后期制作须达到播出要求。</w:t>
            </w:r>
          </w:p>
          <w:p>
            <w:pPr>
              <w:pStyle w:val="null5"/>
              <w:jc w:val="both"/>
            </w:pPr>
            <w:r>
              <w:rPr>
                <w:rFonts w:ascii="仿宋_GB2312" w:hAnsi="仿宋_GB2312" w:cs="仿宋_GB2312" w:eastAsia="仿宋_GB2312"/>
                <w:sz w:val="24"/>
              </w:rPr>
              <w:t>要求：突出热烈、喜庆、新颖、简朴、务实的原则，重点是晚会的筹备、布置与组织，利用多媒体等技术，使晚会组织得既隆重又让人印象深刻。</w:t>
            </w:r>
          </w:p>
          <w:p>
            <w:pPr>
              <w:pStyle w:val="null5"/>
              <w:jc w:val="both"/>
            </w:pPr>
            <w:r>
              <w:rPr>
                <w:rFonts w:ascii="仿宋_GB2312" w:hAnsi="仿宋_GB2312" w:cs="仿宋_GB2312" w:eastAsia="仿宋_GB2312"/>
                <w:sz w:val="24"/>
              </w:rPr>
              <w:t>版权归属：所有节目的素材和资料在制作完成后，交付</w:t>
            </w:r>
            <w:r>
              <w:rPr>
                <w:rFonts w:ascii="仿宋_GB2312" w:hAnsi="仿宋_GB2312" w:cs="仿宋_GB2312" w:eastAsia="仿宋_GB2312"/>
                <w:sz w:val="24"/>
              </w:rPr>
              <w:t>鄂尔多斯市文化和旅游局</w:t>
            </w:r>
            <w:r>
              <w:rPr>
                <w:rFonts w:ascii="仿宋_GB2312" w:hAnsi="仿宋_GB2312" w:cs="仿宋_GB2312" w:eastAsia="仿宋_GB2312"/>
                <w:sz w:val="24"/>
              </w:rPr>
              <w:t>，节目及素材的版权归</w:t>
            </w:r>
            <w:r>
              <w:rPr>
                <w:rFonts w:ascii="仿宋_GB2312" w:hAnsi="仿宋_GB2312" w:cs="仿宋_GB2312" w:eastAsia="仿宋_GB2312"/>
                <w:sz w:val="24"/>
              </w:rPr>
              <w:t>鄂尔多斯市文化和旅游局</w:t>
            </w:r>
            <w:r>
              <w:rPr>
                <w:rFonts w:ascii="仿宋_GB2312" w:hAnsi="仿宋_GB2312" w:cs="仿宋_GB2312" w:eastAsia="仿宋_GB2312"/>
                <w:sz w:val="24"/>
              </w:rPr>
              <w:t>所有。</w:t>
            </w:r>
          </w:p>
        </w:tc>
      </w:tr>
      <w:tr>
        <w:tc>
          <w:tcPr>
            <w:tcW w:type="dxa" w:w="2769"/>
          </w:tcPr>
          <w:p>
            <w:pPr>
              <w:pStyle w:val="null5"/>
              <w:jc w:val="left"/>
            </w:pPr>
            <w:r>
              <w:rPr>
                <w:rFonts w:ascii="仿宋_GB2312" w:hAnsi="仿宋_GB2312" w:cs="仿宋_GB2312" w:eastAsia="仿宋_GB2312"/>
              </w:rPr>
              <w:t>7</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4"/>
              </w:rPr>
              <w:t>演出安全：演出设备应满足演出需求、舞台搭建、电线、电缆及电源接口的布置要考虑设施设备安全、人身安全和电气安全，保障演出顺利进行，制定演出期间的应急措施预案。本项目服务内容全部安全责任由成交人承担。</w:t>
            </w:r>
          </w:p>
        </w:tc>
      </w:tr>
      <w:tr>
        <w:tc>
          <w:tcPr>
            <w:tcW w:type="dxa" w:w="2769"/>
          </w:tcPr>
          <w:p>
            <w:pPr>
              <w:pStyle w:val="null5"/>
              <w:jc w:val="left"/>
            </w:pPr>
            <w:r>
              <w:rPr>
                <w:rFonts w:ascii="仿宋_GB2312" w:hAnsi="仿宋_GB2312" w:cs="仿宋_GB2312" w:eastAsia="仿宋_GB2312"/>
              </w:rPr>
              <w:t>8</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4"/>
              </w:rPr>
              <w:t>场地清理：演出结束后，供应商应有序组织演出人员离场，收到采购人通知后有序进行舞台的拆除退场工作。整个服务完成后，垃圾及时清运，场地要保持整洁。</w:t>
            </w:r>
          </w:p>
        </w:tc>
      </w:tr>
      <w:tr>
        <w:tc>
          <w:tcPr>
            <w:tcW w:type="dxa" w:w="2769"/>
          </w:tcPr>
          <w:p>
            <w:pPr>
              <w:pStyle w:val="null5"/>
              <w:jc w:val="left"/>
            </w:pPr>
            <w:r>
              <w:rPr>
                <w:rFonts w:ascii="仿宋_GB2312" w:hAnsi="仿宋_GB2312" w:cs="仿宋_GB2312" w:eastAsia="仿宋_GB2312"/>
              </w:rPr>
              <w:t>9</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4"/>
              </w:rPr>
              <w:t>服务期间，服务人员的一切人事纠纷以及人身安全，均由供应商全权解决并承担全部责任，若供应商在项目服务期间与服务人员产生劳动纠纷，由供应商自行承担，相关责任与采购人无关且供应商须保证本服务项目能正常进行。</w:t>
            </w:r>
          </w:p>
          <w:p>
            <w:pPr>
              <w:pStyle w:val="null5"/>
              <w:jc w:val="both"/>
            </w:pPr>
            <w:r>
              <w:rPr>
                <w:rFonts w:ascii="仿宋_GB2312" w:hAnsi="仿宋_GB2312" w:cs="仿宋_GB2312" w:eastAsia="仿宋_GB2312"/>
                <w:sz w:val="24"/>
                <w:b/>
              </w:rPr>
              <w:t>注</w:t>
            </w:r>
            <w:r>
              <w:rPr>
                <w:rFonts w:ascii="仿宋_GB2312" w:hAnsi="仿宋_GB2312" w:cs="仿宋_GB2312" w:eastAsia="仿宋_GB2312"/>
                <w:sz w:val="24"/>
                <w:b/>
              </w:rPr>
              <w:t>:晚会活动服务内容所需的设施设备均由成交供应商提供，本项目采购预算价包含此次采购项目所需一切费用，以上指标不接受负偏离。</w:t>
            </w:r>
          </w:p>
        </w:tc>
      </w:tr>
    </w:tbl>
    <w:p>
      <w:pPr>
        <w:pStyle w:val="null5"/>
      </w:pPr>
      <w:r>
        <w:rPr>
          <w:rFonts w:ascii="仿宋_GB2312" w:hAnsi="仿宋_GB2312" w:cs="仿宋_GB2312" w:eastAsia="仿宋_GB2312"/>
        </w:rPr>
        <w:t xml:space="preserve"> </w:t>
        <w:br/>
        <w:br w:type="page"/>
      </w:r>
    </w:p>
    <w:p>
      <w:pPr>
        <w:pStyle w:val="null5"/>
        <w:ind w:firstLine="480"/>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供应商应提交证明其有资格参加谈判和成交后有能力履行合同的相关文件，并作为其响应文件的一部分，所有文件必须真实可靠、不得伪造，否则将按相关规定予以处罚。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五、按照谈判文件要求，供应商应当提交的其他资格、资信证明文件。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谈判结束后，谈判小组应当要求所有参加谈判的供应商在规定时间内进行最后报价，采购人从谈判小组提出的成交候选人中根据符合采购需求、质量和服务相等且报价最低的原则确定成交供应商。</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2.1谈判小组成员应当遵循客观、公正、审慎的原则，根据谈判文件规定的评审程序、评审方法和评审标准进行独立评审。</w:t>
      </w:r>
    </w:p>
    <w:p>
      <w:pPr>
        <w:pStyle w:val="null5"/>
        <w:ind w:firstLine="480"/>
        <w:jc w:val="left"/>
      </w:pPr>
      <w:r>
        <w:rPr>
          <w:rFonts w:ascii="仿宋_GB2312" w:hAnsi="仿宋_GB2312" w:cs="仿宋_GB2312" w:eastAsia="仿宋_GB2312"/>
        </w:rPr>
        <w:t>2.2具体评审事项由谈判小组负责，并按谈判文件规定的办法进行评审。</w:t>
      </w:r>
    </w:p>
    <w:p>
      <w:pPr>
        <w:pStyle w:val="null5"/>
        <w:ind w:firstLine="480"/>
        <w:jc w:val="left"/>
      </w:pPr>
      <w:r>
        <w:rPr>
          <w:rFonts w:ascii="仿宋_GB2312" w:hAnsi="仿宋_GB2312" w:cs="仿宋_GB2312" w:eastAsia="仿宋_GB2312"/>
        </w:rPr>
        <w:t>3.谈判小组</w:t>
      </w:r>
    </w:p>
    <w:p>
      <w:pPr>
        <w:pStyle w:val="null5"/>
        <w:ind w:firstLine="480"/>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达到公开招标数额标准的货物或者服务采购项目，或者达到招标规模标准的政府采购工程，竞争性谈判小组应当由5人或以上单数组成。</w:t>
      </w:r>
    </w:p>
    <w:p>
      <w:pPr>
        <w:pStyle w:val="null5"/>
        <w:ind w:firstLine="480"/>
        <w:jc w:val="left"/>
      </w:pPr>
      <w:r>
        <w:rPr>
          <w:rFonts w:ascii="仿宋_GB2312" w:hAnsi="仿宋_GB2312" w:cs="仿宋_GB2312" w:eastAsia="仿宋_GB2312"/>
        </w:rPr>
        <w:t>3.1谈判小组由采购人代表和评审专家共3人以上单数组成，其中评审专家人数不得少于竞争性谈判小组成员总数的2/3。</w:t>
      </w:r>
    </w:p>
    <w:p>
      <w:pPr>
        <w:pStyle w:val="null5"/>
        <w:ind w:firstLine="480"/>
        <w:jc w:val="left"/>
      </w:pPr>
      <w:r>
        <w:rPr>
          <w:rFonts w:ascii="仿宋_GB2312" w:hAnsi="仿宋_GB2312" w:cs="仿宋_GB2312" w:eastAsia="仿宋_GB2312"/>
        </w:rPr>
        <w:t>3.2谈判小组成员有下列情形之一的，应当回避：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3.3谈判小组应当履行下列职责：</w:t>
      </w:r>
    </w:p>
    <w:p>
      <w:pPr>
        <w:pStyle w:val="null5"/>
        <w:ind w:firstLine="480"/>
        <w:jc w:val="left"/>
      </w:pPr>
      <w:r>
        <w:rPr>
          <w:rFonts w:ascii="仿宋_GB2312" w:hAnsi="仿宋_GB2312" w:cs="仿宋_GB2312" w:eastAsia="仿宋_GB2312"/>
        </w:rPr>
        <w:t>（1）确认或者制定谈判文件；</w:t>
      </w:r>
    </w:p>
    <w:p>
      <w:pPr>
        <w:pStyle w:val="null5"/>
        <w:ind w:firstLine="480"/>
        <w:jc w:val="left"/>
      </w:pPr>
      <w:r>
        <w:rPr>
          <w:rFonts w:ascii="仿宋_GB2312" w:hAnsi="仿宋_GB2312" w:cs="仿宋_GB2312" w:eastAsia="仿宋_GB2312"/>
        </w:rPr>
        <w:t>（2）从符合相应资格条件的供应商名单中确定不少于3家的供应商参加谈判；</w:t>
      </w:r>
    </w:p>
    <w:p>
      <w:pPr>
        <w:pStyle w:val="null5"/>
        <w:ind w:firstLine="480"/>
        <w:jc w:val="left"/>
      </w:pPr>
      <w:r>
        <w:rPr>
          <w:rFonts w:ascii="仿宋_GB2312" w:hAnsi="仿宋_GB2312" w:cs="仿宋_GB2312" w:eastAsia="仿宋_GB2312"/>
        </w:rPr>
        <w:t>（3）审查供应商的响应文件并作出评价；</w:t>
      </w:r>
    </w:p>
    <w:p>
      <w:pPr>
        <w:pStyle w:val="null5"/>
        <w:ind w:firstLine="480"/>
        <w:jc w:val="left"/>
      </w:pPr>
      <w:r>
        <w:rPr>
          <w:rFonts w:ascii="仿宋_GB2312" w:hAnsi="仿宋_GB2312" w:cs="仿宋_GB2312" w:eastAsia="仿宋_GB2312"/>
        </w:rPr>
        <w:t>（4）要求供应商解释或者澄清其响应文件；</w:t>
      </w:r>
    </w:p>
    <w:p>
      <w:pPr>
        <w:pStyle w:val="null5"/>
        <w:ind w:firstLine="480"/>
        <w:jc w:val="left"/>
      </w:pPr>
      <w:r>
        <w:rPr>
          <w:rFonts w:ascii="仿宋_GB2312" w:hAnsi="仿宋_GB2312" w:cs="仿宋_GB2312" w:eastAsia="仿宋_GB2312"/>
        </w:rPr>
        <w:t>（5）编写评审报告；</w:t>
      </w:r>
    </w:p>
    <w:p>
      <w:pPr>
        <w:pStyle w:val="null5"/>
        <w:ind w:firstLine="480"/>
        <w:jc w:val="left"/>
      </w:pPr>
      <w:r>
        <w:rPr>
          <w:rFonts w:ascii="仿宋_GB2312" w:hAnsi="仿宋_GB2312" w:cs="仿宋_GB2312" w:eastAsia="仿宋_GB2312"/>
        </w:rPr>
        <w:t>（6）告知采购人、采购代理机构在评审过程中发现的供应商的违法违规行为。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谈判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4.1谈判小组不接受供应商主动提出的澄清、说明或更正。</w:t>
      </w:r>
    </w:p>
    <w:p>
      <w:pPr>
        <w:pStyle w:val="null5"/>
        <w:ind w:firstLine="480"/>
        <w:jc w:val="left"/>
      </w:pPr>
      <w:r>
        <w:rPr>
          <w:rFonts w:ascii="仿宋_GB2312" w:hAnsi="仿宋_GB2312" w:cs="仿宋_GB2312" w:eastAsia="仿宋_GB2312"/>
        </w:rPr>
        <w:t>4.2谈判小组对供应商提交的澄清、说明或更正有疑问的，可以要求供应商进一步澄清、说明或更正。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（1）供应商未按照谈判文件要求提交保证金的，响应无效；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（3）未实质性响应谈判文件的，响应无效；</w:t>
      </w:r>
    </w:p>
    <w:p>
      <w:pPr>
        <w:pStyle w:val="null5"/>
        <w:ind w:firstLine="480"/>
        <w:jc w:val="left"/>
      </w:pPr>
      <w:r>
        <w:rPr>
          <w:rFonts w:ascii="仿宋_GB2312" w:hAnsi="仿宋_GB2312" w:cs="仿宋_GB2312" w:eastAsia="仿宋_GB2312"/>
        </w:rPr>
        <w:t>（4）法律、法规和谈判文件规定的其他无效情形。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出现下列情形之一的，采购人或者采购代理机构应当终止竞争性谈判采购活动，发布项目终止公告并说明原因，重新开展采购活动：</w:t>
      </w:r>
    </w:p>
    <w:p>
      <w:pPr>
        <w:pStyle w:val="null5"/>
        <w:ind w:firstLine="480"/>
        <w:jc w:val="left"/>
      </w:pPr>
      <w:r>
        <w:rPr>
          <w:rFonts w:ascii="仿宋_GB2312" w:hAnsi="仿宋_GB2312" w:cs="仿宋_GB2312" w:eastAsia="仿宋_GB2312"/>
        </w:rPr>
        <w:t>（1）因情况变化，不再符合规定的竞争性谈判采购方式适用情形的；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（3）除《政府采购非招标采购方式管理办法》规定的情形外，在采购过程中符合竞争要求的供应商或者报价未超过采购预算的供应商不足3家的。</w:t>
      </w:r>
    </w:p>
    <w:p>
      <w:pPr>
        <w:pStyle w:val="null5"/>
        <w:ind w:firstLine="480"/>
        <w:jc w:val="left"/>
      </w:pPr>
      <w:r>
        <w:rPr>
          <w:rFonts w:ascii="仿宋_GB2312" w:hAnsi="仿宋_GB2312" w:cs="仿宋_GB2312" w:eastAsia="仿宋_GB2312"/>
        </w:rPr>
        <w:t>（4）法律、法规以及谈判文件规定的其他情形。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评审结束后，谈判小组根据采购人书面授权直接确定成交供应商或者由采购人从评审报告提出的成交候选供应商中按顺序确定成交供应商。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采购的产品属于品目清单范围的，将依据国家确定的认证机构出具的、处于有效期之内的节能产品、环境标志产品认证证书，对获得证书的产品实施政府优先采购或强制采购，具体按照本谈判文件相关要求执行。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1.1谈判小组依据法律法规和谈判文件的规定，对响应文件中的资格证明文件等进行审查，以确定供应商是否具备响应资格。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谈判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pPr>
            <w:r>
              <w:rPr>
                <w:rFonts w:ascii="仿宋_GB2312" w:hAnsi="仿宋_GB2312" w:cs="仿宋_GB2312" w:eastAsia="仿宋_GB2312"/>
              </w:rPr>
              <w:t xml:space="preserve"> 序号</w:t>
            </w:r>
          </w:p>
        </w:tc>
        <w:tc>
          <w:tcPr>
            <w:tcW w:type="dxa" w:w="3322"/>
          </w:tcPr>
          <w:p>
            <w:pPr>
              <w:pStyle w:val="null5"/>
            </w:pPr>
            <w:r>
              <w:rPr>
                <w:rFonts w:ascii="仿宋_GB2312" w:hAnsi="仿宋_GB2312" w:cs="仿宋_GB2312" w:eastAsia="仿宋_GB2312"/>
              </w:rPr>
              <w:t xml:space="preserve"> 资格审查要求概况</w:t>
            </w:r>
          </w:p>
        </w:tc>
        <w:tc>
          <w:tcPr>
            <w:tcW w:type="dxa" w:w="4153"/>
          </w:tcPr>
          <w:p>
            <w:pPr>
              <w:pStyle w:val="null5"/>
            </w:pPr>
            <w:r>
              <w:rPr>
                <w:rFonts w:ascii="仿宋_GB2312" w:hAnsi="仿宋_GB2312" w:cs="仿宋_GB2312" w:eastAsia="仿宋_GB2312"/>
              </w:rPr>
              <w:t xml:space="preserve"> 评审点具体描述</w:t>
            </w:r>
          </w:p>
        </w:tc>
      </w:tr>
      <w:tr>
        <w:tc>
          <w:tcPr>
            <w:tcW w:type="dxa" w:w="831"/>
          </w:tcPr>
          <w:p>
            <w:pPr>
              <w:pStyle w:val="null5"/>
            </w:pPr>
            <w:r>
              <w:rPr>
                <w:rFonts w:ascii="仿宋_GB2312" w:hAnsi="仿宋_GB2312" w:cs="仿宋_GB2312" w:eastAsia="仿宋_GB2312"/>
              </w:rPr>
              <w:t>1</w:t>
            </w:r>
          </w:p>
        </w:tc>
        <w:tc>
          <w:tcPr>
            <w:tcW w:type="dxa" w:w="3322"/>
          </w:tcPr>
          <w:p>
            <w:pPr>
              <w:pStyle w:val="null5"/>
            </w:pPr>
            <w:r>
              <w:rPr>
                <w:rFonts w:ascii="仿宋_GB2312" w:hAnsi="仿宋_GB2312" w:cs="仿宋_GB2312" w:eastAsia="仿宋_GB2312"/>
              </w:rPr>
              <w:t>具有独立承担民事责任的能力</w:t>
            </w:r>
          </w:p>
        </w:tc>
        <w:tc>
          <w:tcPr>
            <w:tcW w:type="dxa" w:w="4153"/>
          </w:tcPr>
          <w:p>
            <w:pPr>
              <w:pStyle w:val="null5"/>
            </w:pPr>
            <w:r>
              <w:rPr>
                <w:rFonts w:ascii="仿宋_GB2312" w:hAnsi="仿宋_GB2312" w:cs="仿宋_GB2312" w:eastAsia="仿宋_GB2312"/>
              </w:rPr>
              <w:t>审查供应商营业执照等证明文件或者身份证明。</w:t>
            </w:r>
          </w:p>
        </w:tc>
      </w:tr>
      <w:tr>
        <w:tc>
          <w:tcPr>
            <w:tcW w:type="dxa" w:w="831"/>
          </w:tcPr>
          <w:p>
            <w:pPr>
              <w:pStyle w:val="null5"/>
            </w:pPr>
            <w:r>
              <w:rPr>
                <w:rFonts w:ascii="仿宋_GB2312" w:hAnsi="仿宋_GB2312" w:cs="仿宋_GB2312" w:eastAsia="仿宋_GB2312"/>
              </w:rPr>
              <w:t>2</w:t>
            </w:r>
          </w:p>
        </w:tc>
        <w:tc>
          <w:tcPr>
            <w:tcW w:type="dxa" w:w="3322"/>
          </w:tcPr>
          <w:p>
            <w:pPr>
              <w:pStyle w:val="null5"/>
            </w:pPr>
            <w:r>
              <w:rPr>
                <w:rFonts w:ascii="仿宋_GB2312" w:hAnsi="仿宋_GB2312" w:cs="仿宋_GB2312" w:eastAsia="仿宋_GB2312"/>
              </w:rPr>
              <w:t>具有良好的商业信誉和健全的财务会计制度</w:t>
            </w:r>
          </w:p>
        </w:tc>
        <w:tc>
          <w:tcPr>
            <w:tcW w:type="dxa" w:w="4153"/>
          </w:tcPr>
          <w:p>
            <w:pPr>
              <w:pStyle w:val="null5"/>
            </w:pPr>
            <w:r>
              <w:rPr>
                <w:rFonts w:ascii="仿宋_GB2312" w:hAnsi="仿宋_GB2312" w:cs="仿宋_GB2312" w:eastAsia="仿宋_GB2312"/>
              </w:rPr>
              <w:t>审查供应商2022年度或2023年度经会计师事务所出具的财务审计报告或其基本开户银行出具的近一年内的银行资信证明。</w:t>
            </w:r>
          </w:p>
        </w:tc>
      </w:tr>
      <w:tr>
        <w:tc>
          <w:tcPr>
            <w:tcW w:type="dxa" w:w="831"/>
          </w:tcPr>
          <w:p>
            <w:pPr>
              <w:pStyle w:val="null5"/>
            </w:pPr>
            <w:r>
              <w:rPr>
                <w:rFonts w:ascii="仿宋_GB2312" w:hAnsi="仿宋_GB2312" w:cs="仿宋_GB2312" w:eastAsia="仿宋_GB2312"/>
              </w:rPr>
              <w:t>3</w:t>
            </w:r>
          </w:p>
        </w:tc>
        <w:tc>
          <w:tcPr>
            <w:tcW w:type="dxa" w:w="3322"/>
          </w:tcPr>
          <w:p>
            <w:pPr>
              <w:pStyle w:val="null5"/>
            </w:pPr>
            <w:r>
              <w:rPr>
                <w:rFonts w:ascii="仿宋_GB2312" w:hAnsi="仿宋_GB2312" w:cs="仿宋_GB2312" w:eastAsia="仿宋_GB2312"/>
              </w:rPr>
              <w:t>有依法缴纳税收和社会保障资金的良好记录</w:t>
            </w:r>
          </w:p>
        </w:tc>
        <w:tc>
          <w:tcPr>
            <w:tcW w:type="dxa" w:w="4153"/>
          </w:tcPr>
          <w:p>
            <w:pPr>
              <w:pStyle w:val="null5"/>
            </w:pPr>
            <w:r>
              <w:rPr>
                <w:rFonts w:ascii="仿宋_GB2312" w:hAnsi="仿宋_GB2312" w:cs="仿宋_GB2312" w:eastAsia="仿宋_GB2312"/>
              </w:rPr>
              <w:t>1.提供递交投标文件截止之日前一年内（至少一个月）的良好缴纳税收的相关凭据。（以税务机关提供的纳税凭据或银行入账单为准） 2.提供递交投标文件截止之日前一年内（至少一个月）缴纳社会保险的凭证（以专用收据或社会保险缴纳清单为准） 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pPr>
            <w:r>
              <w:rPr>
                <w:rFonts w:ascii="仿宋_GB2312" w:hAnsi="仿宋_GB2312" w:cs="仿宋_GB2312" w:eastAsia="仿宋_GB2312"/>
              </w:rPr>
              <w:t>4</w:t>
            </w:r>
          </w:p>
        </w:tc>
        <w:tc>
          <w:tcPr>
            <w:tcW w:type="dxa" w:w="3322"/>
          </w:tcPr>
          <w:p>
            <w:pPr>
              <w:pStyle w:val="null5"/>
            </w:pPr>
            <w:r>
              <w:rPr>
                <w:rFonts w:ascii="仿宋_GB2312" w:hAnsi="仿宋_GB2312" w:cs="仿宋_GB2312" w:eastAsia="仿宋_GB2312"/>
              </w:rPr>
              <w:t>具有履行合同所必须的设备和专业技术能力</w:t>
            </w:r>
          </w:p>
        </w:tc>
        <w:tc>
          <w:tcPr>
            <w:tcW w:type="dxa" w:w="4153"/>
          </w:tcPr>
          <w:p>
            <w:pPr>
              <w:pStyle w:val="null5"/>
            </w:pPr>
            <w:r>
              <w:rPr>
                <w:rFonts w:ascii="仿宋_GB2312" w:hAnsi="仿宋_GB2312" w:cs="仿宋_GB2312" w:eastAsia="仿宋_GB2312"/>
              </w:rPr>
              <w:t>审查供应商出具的“具有履行合同所必须的设备和专业技术能力”声明（如未提供模版，可格式自拟）或审查供应商提供的具有履行合同所必需的设备和专业技术能力的其他证明材料。</w:t>
            </w:r>
          </w:p>
        </w:tc>
      </w:tr>
      <w:tr>
        <w:tc>
          <w:tcPr>
            <w:tcW w:type="dxa" w:w="831"/>
          </w:tcPr>
          <w:p>
            <w:pPr>
              <w:pStyle w:val="null5"/>
            </w:pPr>
            <w:r>
              <w:rPr>
                <w:rFonts w:ascii="仿宋_GB2312" w:hAnsi="仿宋_GB2312" w:cs="仿宋_GB2312" w:eastAsia="仿宋_GB2312"/>
              </w:rPr>
              <w:t>5</w:t>
            </w:r>
          </w:p>
        </w:tc>
        <w:tc>
          <w:tcPr>
            <w:tcW w:type="dxa" w:w="3322"/>
          </w:tcPr>
          <w:p>
            <w:pPr>
              <w:pStyle w:val="null5"/>
            </w:pPr>
            <w:r>
              <w:rPr>
                <w:rFonts w:ascii="仿宋_GB2312" w:hAnsi="仿宋_GB2312" w:cs="仿宋_GB2312" w:eastAsia="仿宋_GB2312"/>
              </w:rPr>
              <w:t>参加采购活动前3年内，在经营活动中没有重大违法记录</w:t>
            </w:r>
          </w:p>
        </w:tc>
        <w:tc>
          <w:tcPr>
            <w:tcW w:type="dxa" w:w="4153"/>
          </w:tcPr>
          <w:p>
            <w:pPr>
              <w:pStyle w:val="null5"/>
            </w:pPr>
            <w:r>
              <w:rPr>
                <w:rFonts w:ascii="仿宋_GB2312" w:hAnsi="仿宋_GB2312" w:cs="仿宋_GB2312" w:eastAsia="仿宋_GB2312"/>
              </w:rPr>
              <w:t>审查供应商参加本次采购活动前3年内在经营活动中没有重大违法记录的书面声明（如未提供模版，可格式自拟）。</w:t>
            </w:r>
          </w:p>
        </w:tc>
      </w:tr>
      <w:tr>
        <w:tc>
          <w:tcPr>
            <w:tcW w:type="dxa" w:w="831"/>
          </w:tcPr>
          <w:p>
            <w:pPr>
              <w:pStyle w:val="null5"/>
            </w:pPr>
            <w:r>
              <w:rPr>
                <w:rFonts w:ascii="仿宋_GB2312" w:hAnsi="仿宋_GB2312" w:cs="仿宋_GB2312" w:eastAsia="仿宋_GB2312"/>
              </w:rPr>
              <w:t>6</w:t>
            </w:r>
          </w:p>
        </w:tc>
        <w:tc>
          <w:tcPr>
            <w:tcW w:type="dxa" w:w="3322"/>
          </w:tcPr>
          <w:p>
            <w:pPr>
              <w:pStyle w:val="null5"/>
            </w:pPr>
            <w:r>
              <w:rPr>
                <w:rFonts w:ascii="仿宋_GB2312" w:hAnsi="仿宋_GB2312" w:cs="仿宋_GB2312" w:eastAsia="仿宋_GB2312"/>
              </w:rPr>
              <w:t>信用记录</w:t>
            </w:r>
          </w:p>
        </w:tc>
        <w:tc>
          <w:tcPr>
            <w:tcW w:type="dxa" w:w="4153"/>
          </w:tcPr>
          <w:p>
            <w:pPr>
              <w:pStyle w:val="null5"/>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pPr>
            <w:r>
              <w:rPr>
                <w:rFonts w:ascii="仿宋_GB2312" w:hAnsi="仿宋_GB2312" w:cs="仿宋_GB2312" w:eastAsia="仿宋_GB2312"/>
              </w:rPr>
              <w:t>7</w:t>
            </w:r>
          </w:p>
        </w:tc>
        <w:tc>
          <w:tcPr>
            <w:tcW w:type="dxa" w:w="3322"/>
          </w:tcPr>
          <w:p>
            <w:pPr>
              <w:pStyle w:val="null5"/>
            </w:pPr>
            <w:r>
              <w:rPr>
                <w:rFonts w:ascii="仿宋_GB2312" w:hAnsi="仿宋_GB2312" w:cs="仿宋_GB2312" w:eastAsia="仿宋_GB2312"/>
              </w:rPr>
              <w:t>联合体响应（若有）</w:t>
            </w:r>
          </w:p>
        </w:tc>
        <w:tc>
          <w:tcPr>
            <w:tcW w:type="dxa" w:w="4153"/>
          </w:tcPr>
          <w:p>
            <w:pPr>
              <w:pStyle w:val="null5"/>
            </w:pPr>
            <w:r>
              <w:rPr>
                <w:rFonts w:ascii="仿宋_GB2312" w:hAnsi="仿宋_GB2312" w:cs="仿宋_GB2312" w:eastAsia="仿宋_GB2312"/>
              </w:rPr>
              <w:t>符合关于联合体响应的相关规定。</w:t>
            </w:r>
          </w:p>
        </w:tc>
      </w:tr>
    </w:tbl>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供应商业绩要求</w:t>
            </w:r>
          </w:p>
        </w:tc>
        <w:tc>
          <w:tcPr>
            <w:tcW w:type="dxa" w:w="4984"/>
          </w:tcPr>
          <w:p>
            <w:pPr>
              <w:pStyle w:val="null5"/>
              <w:jc w:val="left"/>
            </w:pPr>
            <w:r>
              <w:rPr>
                <w:rFonts w:ascii="仿宋_GB2312" w:hAnsi="仿宋_GB2312" w:cs="仿宋_GB2312" w:eastAsia="仿宋_GB2312"/>
              </w:rPr>
              <w:t>2022年01月01日至今（以签订合同时间为准），供应商至少提供一项类似项目（类似项目是指元宵晚会或春节联欢晚会等大型主题晚会）服务业绩（响应文件中须附合同扫描件）。</w:t>
            </w:r>
          </w:p>
        </w:tc>
      </w:tr>
    </w:tbl>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2.1谈判小组依据谈判文件的规定，从响应文件的有效性、完整性和对谈判文件的响应程度进行审查，以确定是否对谈判文件的实质性要求作出响应。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pPr>
            <w:r>
              <w:rPr>
                <w:rFonts w:ascii="仿宋_GB2312" w:hAnsi="仿宋_GB2312" w:cs="仿宋_GB2312" w:eastAsia="仿宋_GB2312"/>
              </w:rPr>
              <w:t xml:space="preserve"> 序号</w:t>
            </w:r>
          </w:p>
        </w:tc>
        <w:tc>
          <w:tcPr>
            <w:tcW w:type="dxa" w:w="3115"/>
          </w:tcPr>
          <w:p>
            <w:pPr>
              <w:pStyle w:val="null5"/>
            </w:pPr>
            <w:r>
              <w:rPr>
                <w:rFonts w:ascii="仿宋_GB2312" w:hAnsi="仿宋_GB2312" w:cs="仿宋_GB2312" w:eastAsia="仿宋_GB2312"/>
              </w:rPr>
              <w:t xml:space="preserve"> 符合审查要求概况</w:t>
            </w:r>
          </w:p>
        </w:tc>
        <w:tc>
          <w:tcPr>
            <w:tcW w:type="dxa" w:w="4153"/>
          </w:tcPr>
          <w:p>
            <w:pPr>
              <w:pStyle w:val="null5"/>
            </w:pPr>
            <w:r>
              <w:rPr>
                <w:rFonts w:ascii="仿宋_GB2312" w:hAnsi="仿宋_GB2312" w:cs="仿宋_GB2312" w:eastAsia="仿宋_GB2312"/>
              </w:rPr>
              <w:t xml:space="preserve"> 评审点具体描述</w:t>
            </w:r>
          </w:p>
        </w:tc>
      </w:tr>
      <w:tr>
        <w:tc>
          <w:tcPr>
            <w:tcW w:type="dxa" w:w="1038"/>
          </w:tcPr>
          <w:p>
            <w:pPr>
              <w:pStyle w:val="null5"/>
            </w:pPr>
            <w:r>
              <w:rPr>
                <w:rFonts w:ascii="仿宋_GB2312" w:hAnsi="仿宋_GB2312" w:cs="仿宋_GB2312" w:eastAsia="仿宋_GB2312"/>
              </w:rPr>
              <w:t>1</w:t>
            </w:r>
          </w:p>
        </w:tc>
        <w:tc>
          <w:tcPr>
            <w:tcW w:type="dxa" w:w="3115"/>
          </w:tcPr>
          <w:p>
            <w:pPr>
              <w:pStyle w:val="null5"/>
            </w:pPr>
            <w:r>
              <w:rPr>
                <w:rFonts w:ascii="仿宋_GB2312" w:hAnsi="仿宋_GB2312" w:cs="仿宋_GB2312" w:eastAsia="仿宋_GB2312"/>
              </w:rPr>
              <w:t>投标及保证金缴纳情况</w:t>
            </w:r>
          </w:p>
        </w:tc>
        <w:tc>
          <w:tcPr>
            <w:tcW w:type="dxa" w:w="4153"/>
          </w:tcPr>
          <w:p>
            <w:pPr>
              <w:pStyle w:val="null5"/>
            </w:pPr>
            <w:r>
              <w:rPr>
                <w:rFonts w:ascii="仿宋_GB2312" w:hAnsi="仿宋_GB2312" w:cs="仿宋_GB2312" w:eastAsia="仿宋_GB2312"/>
              </w:rPr>
              <w:t>按要求进行网上投标、进行保证金缴纳。（审查汇款凭证）</w:t>
            </w:r>
          </w:p>
        </w:tc>
      </w:tr>
      <w:tr>
        <w:tc>
          <w:tcPr>
            <w:tcW w:type="dxa" w:w="1038"/>
          </w:tcPr>
          <w:p>
            <w:pPr>
              <w:pStyle w:val="null5"/>
            </w:pPr>
            <w:r>
              <w:rPr>
                <w:rFonts w:ascii="仿宋_GB2312" w:hAnsi="仿宋_GB2312" w:cs="仿宋_GB2312" w:eastAsia="仿宋_GB2312"/>
              </w:rPr>
              <w:t>2</w:t>
            </w:r>
          </w:p>
        </w:tc>
        <w:tc>
          <w:tcPr>
            <w:tcW w:type="dxa" w:w="3115"/>
          </w:tcPr>
          <w:p>
            <w:pPr>
              <w:pStyle w:val="null5"/>
            </w:pPr>
            <w:r>
              <w:rPr>
                <w:rFonts w:ascii="仿宋_GB2312" w:hAnsi="仿宋_GB2312" w:cs="仿宋_GB2312" w:eastAsia="仿宋_GB2312"/>
              </w:rPr>
              <w:t>投标报价</w:t>
            </w:r>
          </w:p>
        </w:tc>
        <w:tc>
          <w:tcPr>
            <w:tcW w:type="dxa" w:w="4153"/>
          </w:tcPr>
          <w:p>
            <w:pPr>
              <w:pStyle w:val="null5"/>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pPr>
            <w:r>
              <w:rPr>
                <w:rFonts w:ascii="仿宋_GB2312" w:hAnsi="仿宋_GB2312" w:cs="仿宋_GB2312" w:eastAsia="仿宋_GB2312"/>
              </w:rPr>
              <w:t>3</w:t>
            </w:r>
          </w:p>
        </w:tc>
        <w:tc>
          <w:tcPr>
            <w:tcW w:type="dxa" w:w="3115"/>
          </w:tcPr>
          <w:p>
            <w:pPr>
              <w:pStyle w:val="null5"/>
            </w:pPr>
            <w:r>
              <w:rPr>
                <w:rFonts w:ascii="仿宋_GB2312" w:hAnsi="仿宋_GB2312" w:cs="仿宋_GB2312" w:eastAsia="仿宋_GB2312"/>
              </w:rPr>
              <w:t>投标文件规范性、符合性</w:t>
            </w:r>
          </w:p>
        </w:tc>
        <w:tc>
          <w:tcPr>
            <w:tcW w:type="dxa" w:w="4153"/>
          </w:tcPr>
          <w:p>
            <w:pPr>
              <w:pStyle w:val="null5"/>
            </w:pPr>
            <w:r>
              <w:rPr>
                <w:rFonts w:ascii="仿宋_GB2312" w:hAnsi="仿宋_GB2312" w:cs="仿宋_GB2312" w:eastAsia="仿宋_GB2312"/>
              </w:rPr>
              <w:t>响应文件的签署、盖章、涂改、删除、插字、公章使用等符合谈判文件要求；响应文件文件的格式、文字、目录等符合谈判文件要求或对投标无实质性影响。</w:t>
            </w:r>
          </w:p>
        </w:tc>
      </w:tr>
      <w:tr>
        <w:tc>
          <w:tcPr>
            <w:tcW w:type="dxa" w:w="1038"/>
          </w:tcPr>
          <w:p>
            <w:pPr>
              <w:pStyle w:val="null5"/>
            </w:pPr>
            <w:r>
              <w:rPr>
                <w:rFonts w:ascii="仿宋_GB2312" w:hAnsi="仿宋_GB2312" w:cs="仿宋_GB2312" w:eastAsia="仿宋_GB2312"/>
              </w:rPr>
              <w:t>4</w:t>
            </w:r>
          </w:p>
        </w:tc>
        <w:tc>
          <w:tcPr>
            <w:tcW w:type="dxa" w:w="3115"/>
          </w:tcPr>
          <w:p>
            <w:pPr>
              <w:pStyle w:val="null5"/>
            </w:pPr>
            <w:r>
              <w:rPr>
                <w:rFonts w:ascii="仿宋_GB2312" w:hAnsi="仿宋_GB2312" w:cs="仿宋_GB2312" w:eastAsia="仿宋_GB2312"/>
              </w:rPr>
              <w:t>主要商务条款</w:t>
            </w:r>
          </w:p>
        </w:tc>
        <w:tc>
          <w:tcPr>
            <w:tcW w:type="dxa" w:w="4153"/>
          </w:tcPr>
          <w:p>
            <w:pPr>
              <w:pStyle w:val="null5"/>
            </w:pPr>
            <w:r>
              <w:rPr>
                <w:rFonts w:ascii="仿宋_GB2312" w:hAnsi="仿宋_GB2312" w:cs="仿宋_GB2312" w:eastAsia="仿宋_GB2312"/>
              </w:rPr>
              <w:t>审查供应商出具的“满足主要商务条款的承诺书”，且进行盖章。</w:t>
            </w:r>
          </w:p>
        </w:tc>
      </w:tr>
      <w:tr>
        <w:tc>
          <w:tcPr>
            <w:tcW w:type="dxa" w:w="1038"/>
          </w:tcPr>
          <w:p>
            <w:pPr>
              <w:pStyle w:val="null5"/>
            </w:pPr>
            <w:r>
              <w:rPr>
                <w:rFonts w:ascii="仿宋_GB2312" w:hAnsi="仿宋_GB2312" w:cs="仿宋_GB2312" w:eastAsia="仿宋_GB2312"/>
              </w:rPr>
              <w:t>5</w:t>
            </w:r>
          </w:p>
        </w:tc>
        <w:tc>
          <w:tcPr>
            <w:tcW w:type="dxa" w:w="3115"/>
          </w:tcPr>
          <w:p>
            <w:pPr>
              <w:pStyle w:val="null5"/>
            </w:pPr>
            <w:r>
              <w:rPr>
                <w:rFonts w:ascii="仿宋_GB2312" w:hAnsi="仿宋_GB2312" w:cs="仿宋_GB2312" w:eastAsia="仿宋_GB2312"/>
              </w:rPr>
              <w:t>技术部分实质性内容</w:t>
            </w:r>
          </w:p>
        </w:tc>
        <w:tc>
          <w:tcPr>
            <w:tcW w:type="dxa" w:w="4153"/>
          </w:tcPr>
          <w:p>
            <w:pPr>
              <w:pStyle w:val="null5"/>
            </w:pPr>
            <w:r>
              <w:rPr>
                <w:rFonts w:ascii="仿宋_GB2312" w:hAnsi="仿宋_GB2312" w:cs="仿宋_GB2312" w:eastAsia="仿宋_GB2312"/>
              </w:rPr>
              <w:t>1.明确所投标的的产品品牌、规格型号或服务内容或工程量； 2.响应文件应当对谈判文件提出的要求和条件作出明确响应并满足谈判文件全部实质性要求。</w:t>
            </w:r>
          </w:p>
        </w:tc>
      </w:tr>
      <w:tr>
        <w:tc>
          <w:tcPr>
            <w:tcW w:type="dxa" w:w="1038"/>
          </w:tcPr>
          <w:p>
            <w:pPr>
              <w:pStyle w:val="null5"/>
            </w:pPr>
            <w:r>
              <w:rPr>
                <w:rFonts w:ascii="仿宋_GB2312" w:hAnsi="仿宋_GB2312" w:cs="仿宋_GB2312" w:eastAsia="仿宋_GB2312"/>
              </w:rPr>
              <w:t>6</w:t>
            </w:r>
          </w:p>
        </w:tc>
        <w:tc>
          <w:tcPr>
            <w:tcW w:type="dxa" w:w="3115"/>
          </w:tcPr>
          <w:p>
            <w:pPr>
              <w:pStyle w:val="null5"/>
            </w:pPr>
            <w:r>
              <w:rPr>
                <w:rFonts w:ascii="仿宋_GB2312" w:hAnsi="仿宋_GB2312" w:cs="仿宋_GB2312" w:eastAsia="仿宋_GB2312"/>
              </w:rPr>
              <w:t>其他要求</w:t>
            </w:r>
          </w:p>
        </w:tc>
        <w:tc>
          <w:tcPr>
            <w:tcW w:type="dxa" w:w="4153"/>
          </w:tcPr>
          <w:p>
            <w:pPr>
              <w:pStyle w:val="null5"/>
            </w:pPr>
            <w:r>
              <w:rPr>
                <w:rFonts w:ascii="仿宋_GB2312" w:hAnsi="仿宋_GB2312" w:cs="仿宋_GB2312" w:eastAsia="仿宋_GB2312"/>
              </w:rPr>
              <w:t>谈判文件要求的其他无效投标情形；围标、串标和法律法规规定的其它无效投标条款。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3.谈判</w:t>
      </w:r>
    </w:p>
    <w:p>
      <w:pPr>
        <w:pStyle w:val="null5"/>
        <w:ind w:firstLine="480"/>
        <w:jc w:val="left"/>
      </w:pPr>
      <w:r>
        <w:rPr>
          <w:rFonts w:ascii="仿宋_GB2312" w:hAnsi="仿宋_GB2312" w:cs="仿宋_GB2312" w:eastAsia="仿宋_GB2312"/>
        </w:rPr>
        <w:t>谈判小组所有成员应当集中与单一供应商分别进行谈判，并给予所有参加谈判的供应商平等的谈判机会。</w:t>
      </w:r>
    </w:p>
    <w:p>
      <w:pPr>
        <w:pStyle w:val="null5"/>
        <w:ind w:firstLine="480"/>
        <w:jc w:val="left"/>
      </w:pPr>
      <w:r>
        <w:rPr>
          <w:rFonts w:ascii="仿宋_GB2312" w:hAnsi="仿宋_GB2312" w:cs="仿宋_GB2312" w:eastAsia="仿宋_GB2312"/>
        </w:rPr>
        <w:t>在谈判过程中，谈判小组可以根据谈判文件和谈判情况实质性变动采购需求中的技术、服务要求以及合同草案条款，但不得变动谈判文件中的其他内容。实质性变动的内容，须经采购人代表确认。</w:t>
      </w:r>
    </w:p>
    <w:p>
      <w:pPr>
        <w:pStyle w:val="null5"/>
        <w:ind w:firstLine="480"/>
        <w:jc w:val="left"/>
      </w:pPr>
      <w:r>
        <w:rPr>
          <w:rFonts w:ascii="仿宋_GB2312" w:hAnsi="仿宋_GB2312" w:cs="仿宋_GB2312" w:eastAsia="仿宋_GB2312"/>
        </w:rPr>
        <w:t>对谈判文件作出的实质性变动是谈判文件的有效组成部分，谈判小组应当及时通过政府采购云平台同时通知所有参加谈判的供应商。</w:t>
      </w:r>
    </w:p>
    <w:p>
      <w:pPr>
        <w:pStyle w:val="null5"/>
        <w:ind w:firstLine="480"/>
        <w:jc w:val="left"/>
      </w:pPr>
      <w:r>
        <w:rPr>
          <w:rFonts w:ascii="仿宋_GB2312" w:hAnsi="仿宋_GB2312" w:cs="仿宋_GB2312" w:eastAsia="仿宋_GB2312"/>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谈判结束后，谈判小组应当要求所有实质性响应的供应商在规定时间内提交最后报价。最后报价是供应商响应文件的有效组成部分。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已提交响应文件的供应商，在提交最后报价之前，可以根据谈判情况退出谈判。</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谈判小组应当从质量和服务均能满足谈判文件实质性响应要求的供应商中，按照最后报价由低到高的顺序提出3名以上成交候选人，并编写评审报告。</w:t>
      </w:r>
    </w:p>
    <w:p>
      <w:pPr>
        <w:pStyle w:val="null5"/>
        <w:ind w:firstLine="480"/>
        <w:jc w:val="left"/>
      </w:pPr>
      <w:r>
        <w:rPr>
          <w:rFonts w:ascii="仿宋_GB2312" w:hAnsi="仿宋_GB2312" w:cs="仿宋_GB2312" w:eastAsia="仿宋_GB2312"/>
        </w:rPr>
        <w:t>采购代理机构应当在评审结束后2个工作日内将评审报告送采购人确认。采购人应当在收到评审报告后5个工作日内，从评审报告提出的成交候选人中，根据质量和服务均能满足谈判文件实质性响应要求且最后报价最低的原则确定成交供应商，也可以书面授权谈判小组直接确定成交供应商。采购人逾期未确定成交供应商且不提出异议的，视为确定评审报告提出的最后报价最低的供应商为成交供应商。</w:t>
      </w:r>
    </w:p>
    <w:p>
      <w:pPr>
        <w:pStyle w:val="null5"/>
        <w:ind w:firstLine="480"/>
        <w:jc w:val="left"/>
      </w:pPr>
      <w:r>
        <w:rPr>
          <w:rFonts w:ascii="仿宋_GB2312" w:hAnsi="仿宋_GB2312" w:cs="仿宋_GB2312" w:eastAsia="仿宋_GB2312"/>
        </w:rPr>
        <w:t>公开招标的货物、服务采购项目，招标过程中提交投标文件或者经评审实质性响应招标文件要求的供应商只有两家时，采购人、采购代理机构按照《政府采购非招标采购方式管理办法》规定，经本级财政部门批准后可以与该两家供应商进行竞争性谈判采购。</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