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《内蒙古自治区秦直道遗址保护规划纲要》编制项目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鄂尔多斯市文化和旅游局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内蒙古逸久鑫工程项目管理有限责任公司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ESZCS-C-F-250009</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内蒙古逸久鑫工程项目管理有限责任公司</w:t>
      </w:r>
      <w:r>
        <w:rPr>
          <w:rFonts w:ascii="仿宋_GB2312" w:hAnsi="仿宋_GB2312" w:cs="仿宋_GB2312" w:eastAsia="仿宋_GB2312"/>
        </w:rPr>
        <w:t xml:space="preserve"> 受 </w:t>
      </w:r>
      <w:r>
        <w:rPr>
          <w:rFonts w:ascii="仿宋_GB2312" w:hAnsi="仿宋_GB2312" w:cs="仿宋_GB2312" w:eastAsia="仿宋_GB2312"/>
        </w:rPr>
        <w:t>鄂尔多斯市文化和旅游局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《内蒙古自治区秦直道遗址保护规划纲要》编制项目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《内蒙古自治区秦直道遗址保护规划纲要》编制项目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ESZCS-C-F-250009</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427[2025]00529</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3,000,000.00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《内蒙古自治区秦直道遗址保护规划纲要》编制项目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3,000,000.00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1、本项目特定资格要求：供应商应具备由国家文物行政主管部门颁发的文物保护工程勘察设计甲级资质，业务范围包含保护规划。（响应文件需附资质证书扫描件）</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本项目采用“不见面开标”模式进行开标 (投标人无需到达开标现场，开标当日在投标截止时间前登录“内蒙古自治区 政府采购网--政府采购云平台”参加远程开标并签到) 。请投标人使用投标客户端严格按照招标文件的相关要求制作和上传电子投标文件，并按照相关要求参加开标。</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内蒙古逸久鑫工程项目管理有限责任公司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内蒙古自治区鄂尔多斯市伊金霍洛旗水岸金钻大厦</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顾女士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18647760279</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鄂尔多斯市文化和旅游局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国泰商务广场塔6-1902</w:t>
      </w:r>
    </w:p>
    <w:p>
      <w:pPr>
        <w:pStyle w:val="null5"/>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贺礼</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15849718864</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代理服务费收费标准：按项目中标金额的1.5%收取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鄂尔多斯市文化和旅游局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内蒙古逸久鑫工程项目管理有限责任公司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秦直道遗址南起云阳（陕西淳化县），北达九原（内蒙古自治区包头市西郊），全长700余千米 。秦直道遗址内蒙古段南起伊金霍洛旗的掌岗图四社，途经康巴什区、东胜区，北至达拉特旗吴四圪堵村，黄河北岸包头市九原区的麻池古城为秦直道遗迹起点。鄂尔多斯市秦直道遗址为第六批全国重点文物保护单位，公布类型为古遗址，全长约74.5公里。麻池城址是秦直道的北面起点，占地面积为11万平方米，为战国秦、汉九原城址，公布为第六批全国重点文物保护单位。 为有效保护秦直道遗址，统筹协调秦直道遗址的保护和管理机制，确保遗址价值载体的真实性与完整性，挖掘遗址价值内涵，实现遗址有效利用，彰显国家遗产线路的社会影响力，依据《中华人民共和国文物保护法》，拟编制《内蒙古自治区秦直道遗址保护规划纲要》。</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自合同签订之日起至规划通过评审之日止，计划工期180天。</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内蒙古自治区鄂尔多斯市、包头市。</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1、合同签订后支付，达到付款条件起15日，支付合同总金额的40.00%</w:t>
            </w:r>
          </w:p>
          <w:p>
            <w:pPr>
              <w:pStyle w:val="null5"/>
              <w:jc w:val="left"/>
            </w:pPr>
            <w:r>
              <w:rPr>
                <w:rFonts w:ascii="仿宋_GB2312" w:hAnsi="仿宋_GB2312" w:cs="仿宋_GB2312" w:eastAsia="仿宋_GB2312"/>
              </w:rPr>
              <w:t>2、《内蒙古自治区秦直道遗址保护规划纲要》初稿交付后支付，达到付款条件起15日，支付合同总金额的40.00%</w:t>
            </w:r>
          </w:p>
          <w:p>
            <w:pPr>
              <w:pStyle w:val="null5"/>
              <w:jc w:val="left"/>
            </w:pPr>
            <w:r>
              <w:rPr>
                <w:rFonts w:ascii="仿宋_GB2312" w:hAnsi="仿宋_GB2312" w:cs="仿宋_GB2312" w:eastAsia="仿宋_GB2312"/>
              </w:rPr>
              <w:t>3、《内蒙古自治区秦直道遗址保护规划纲要》取得最终批复文件、修改完善并提交成果文件后支付，达到付款条件起15日，支付合同总金额的20.00%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1、期次1，说明：一次性验收，按照国家行业相应标准，成果文件须取得文物行政主管部门批复文件。</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标的名称：《内蒙古自治区秦直道遗址保护规划纲要》编制项目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总体要求：</w:t>
            </w:r>
          </w:p>
          <w:p>
            <w:pPr>
              <w:pStyle w:val="null5"/>
              <w:jc w:val="both"/>
            </w:pPr>
            <w:r>
              <w:rPr>
                <w:rFonts w:ascii="仿宋_GB2312" w:hAnsi="仿宋_GB2312" w:cs="仿宋_GB2312" w:eastAsia="仿宋_GB2312"/>
                <w:sz w:val="24"/>
              </w:rPr>
              <w:t>应遵守《中华人民共和国文物保护法》《中华人民共和国文物保护法实施条例》，贯彻落实中办、国办《国务院关于进一步加强文物工作的指导意见》（国发〔</w:t>
            </w:r>
            <w:r>
              <w:rPr>
                <w:rFonts w:ascii="仿宋_GB2312" w:hAnsi="仿宋_GB2312" w:cs="仿宋_GB2312" w:eastAsia="仿宋_GB2312"/>
                <w:sz w:val="24"/>
              </w:rPr>
              <w:t>2016</w:t>
            </w:r>
            <w:r>
              <w:rPr>
                <w:rFonts w:ascii="仿宋_GB2312" w:hAnsi="仿宋_GB2312" w:cs="仿宋_GB2312" w:eastAsia="仿宋_GB2312"/>
                <w:sz w:val="24"/>
              </w:rPr>
              <w:t>〕</w:t>
            </w:r>
            <w:r>
              <w:rPr>
                <w:rFonts w:ascii="仿宋_GB2312" w:hAnsi="仿宋_GB2312" w:cs="仿宋_GB2312" w:eastAsia="仿宋_GB2312"/>
                <w:sz w:val="24"/>
              </w:rPr>
              <w:t>17</w:t>
            </w:r>
            <w:r>
              <w:rPr>
                <w:rFonts w:ascii="仿宋_GB2312" w:hAnsi="仿宋_GB2312" w:cs="仿宋_GB2312" w:eastAsia="仿宋_GB2312"/>
                <w:sz w:val="24"/>
              </w:rPr>
              <w:t>号）等相关文件指示精神，按照“保护第一、加强管理、挖掘价值、有效利用、让文物活起来”的文物保护工作要求，有效保护遗产的真实性、完整性，使其得到延续和传承；统筹协调内蒙古自治区内秦直道遗址和相关遗址的保护和管理工作；把遗址保护与生态环境建设、地方经济发展结合起来，促进社会效益、生态效益与经济效益的协调统一。</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4"/>
              </w:rPr>
              <w:t>规划范围：</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秦直道遗址鄂尔多斯段南起伊金霍洛旗的掌岗图四队，经康巴什、东胜区、达拉特旗吴四圪堵村，全长约7</w:t>
            </w:r>
            <w:r>
              <w:rPr>
                <w:rFonts w:ascii="仿宋_GB2312" w:hAnsi="仿宋_GB2312" w:cs="仿宋_GB2312" w:eastAsia="仿宋_GB2312"/>
                <w:sz w:val="24"/>
              </w:rPr>
              <w:t>4.5</w:t>
            </w:r>
            <w:r>
              <w:rPr>
                <w:rFonts w:ascii="仿宋_GB2312" w:hAnsi="仿宋_GB2312" w:cs="仿宋_GB2312" w:eastAsia="仿宋_GB2312"/>
                <w:sz w:val="24"/>
              </w:rPr>
              <w:t>公里。</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包头九原区路径及麻池城址，麻池城址是秦直道的北面起点，占地面积为</w:t>
            </w:r>
            <w:r>
              <w:rPr>
                <w:rFonts w:ascii="仿宋_GB2312" w:hAnsi="仿宋_GB2312" w:cs="仿宋_GB2312" w:eastAsia="仿宋_GB2312"/>
                <w:sz w:val="24"/>
              </w:rPr>
              <w:t>11</w:t>
            </w:r>
            <w:r>
              <w:rPr>
                <w:rFonts w:ascii="仿宋_GB2312" w:hAnsi="仿宋_GB2312" w:cs="仿宋_GB2312" w:eastAsia="仿宋_GB2312"/>
                <w:sz w:val="24"/>
              </w:rPr>
              <w:t>万平方米。</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24"/>
              </w:rPr>
              <w:t>规划深度：</w:t>
            </w:r>
          </w:p>
          <w:p>
            <w:pPr>
              <w:pStyle w:val="null5"/>
              <w:jc w:val="both"/>
            </w:pPr>
            <w:r>
              <w:rPr>
                <w:rFonts w:ascii="仿宋_GB2312" w:hAnsi="仿宋_GB2312" w:cs="仿宋_GB2312" w:eastAsia="仿宋_GB2312"/>
                <w:sz w:val="24"/>
              </w:rPr>
              <w:t>符合国家文物局《全国重点文物保护单位保护规划编制要求》《大遗址保护规划规范》中对规划编制深度的要求，并于鄂尔多斯市、包头市及康巴什区、东胜区、伊金霍洛旗、包头九原区国土空间规划相融合；满足《全国重点文物保护单位保护规划编制审批管理办法》的审批要求。</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both"/>
            </w:pPr>
            <w:r>
              <w:rPr>
                <w:rFonts w:ascii="仿宋_GB2312" w:hAnsi="仿宋_GB2312" w:cs="仿宋_GB2312" w:eastAsia="仿宋_GB2312"/>
                <w:sz w:val="24"/>
              </w:rPr>
              <w:t>服务内容：</w:t>
            </w:r>
          </w:p>
          <w:p>
            <w:pPr>
              <w:pStyle w:val="null5"/>
              <w:jc w:val="both"/>
            </w:pPr>
            <w:r>
              <w:rPr>
                <w:rFonts w:ascii="仿宋_GB2312" w:hAnsi="仿宋_GB2312" w:cs="仿宋_GB2312" w:eastAsia="仿宋_GB2312"/>
                <w:sz w:val="24"/>
              </w:rPr>
              <w:t>秦直道遗址内蒙古段保护规划纲要需包括但不限于以下内容：</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规划纲要应明确划定两线范围及其管控要求和保护措施。</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征求自然资源、住房和城乡建设、发改委、林草、农牧等相关单位及上级文物部门的意见，并与</w:t>
            </w:r>
            <w:r>
              <w:rPr>
                <w:rFonts w:ascii="仿宋_GB2312" w:hAnsi="仿宋_GB2312" w:cs="仿宋_GB2312" w:eastAsia="仿宋_GB2312"/>
                <w:sz w:val="24"/>
              </w:rPr>
              <w:t>相关</w:t>
            </w:r>
            <w:r>
              <w:rPr>
                <w:rFonts w:ascii="仿宋_GB2312" w:hAnsi="仿宋_GB2312" w:cs="仿宋_GB2312" w:eastAsia="仿宋_GB2312"/>
                <w:sz w:val="24"/>
              </w:rPr>
              <w:t>规划衔接。</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真实完整地评估秦直道遗址的赋存条件、保存状况，编制具有针对性的保护措施、环境整治措施与管理规划。</w:t>
            </w:r>
          </w:p>
          <w:p>
            <w:pPr>
              <w:pStyle w:val="null5"/>
              <w:jc w:val="both"/>
            </w:pPr>
            <w:r>
              <w:rPr>
                <w:rFonts w:ascii="仿宋_GB2312" w:hAnsi="仿宋_GB2312" w:cs="仿宋_GB2312" w:eastAsia="仿宋_GB2312"/>
                <w:sz w:val="24"/>
              </w:rPr>
              <w:t>4.</w:t>
            </w:r>
            <w:r>
              <w:rPr>
                <w:rFonts w:ascii="仿宋_GB2312" w:hAnsi="仿宋_GB2312" w:cs="仿宋_GB2312" w:eastAsia="仿宋_GB2312"/>
                <w:sz w:val="24"/>
              </w:rPr>
              <w:t>与考古工作结合，提出考古发掘</w:t>
            </w:r>
            <w:r>
              <w:rPr>
                <w:rFonts w:ascii="仿宋_GB2312" w:hAnsi="仿宋_GB2312" w:cs="仿宋_GB2312" w:eastAsia="仿宋_GB2312"/>
                <w:sz w:val="24"/>
              </w:rPr>
              <w:t>、</w:t>
            </w:r>
            <w:r>
              <w:rPr>
                <w:rFonts w:ascii="仿宋_GB2312" w:hAnsi="仿宋_GB2312" w:cs="仿宋_GB2312" w:eastAsia="仿宋_GB2312"/>
                <w:sz w:val="24"/>
              </w:rPr>
              <w:t>研究</w:t>
            </w:r>
            <w:r>
              <w:rPr>
                <w:rFonts w:ascii="仿宋_GB2312" w:hAnsi="仿宋_GB2312" w:cs="仿宋_GB2312" w:eastAsia="仿宋_GB2312"/>
                <w:sz w:val="24"/>
              </w:rPr>
              <w:t>和利用</w:t>
            </w:r>
            <w:r>
              <w:rPr>
                <w:rFonts w:ascii="仿宋_GB2312" w:hAnsi="仿宋_GB2312" w:cs="仿宋_GB2312" w:eastAsia="仿宋_GB2312"/>
                <w:sz w:val="24"/>
              </w:rPr>
              <w:t>规划建议。</w:t>
            </w:r>
          </w:p>
          <w:p>
            <w:pPr>
              <w:pStyle w:val="null5"/>
              <w:jc w:val="both"/>
            </w:pPr>
            <w:r>
              <w:rPr>
                <w:rFonts w:ascii="仿宋_GB2312" w:hAnsi="仿宋_GB2312" w:cs="仿宋_GB2312" w:eastAsia="仿宋_GB2312"/>
                <w:sz w:val="24"/>
              </w:rPr>
              <w:t>5.</w:t>
            </w:r>
            <w:r>
              <w:rPr>
                <w:rFonts w:ascii="仿宋_GB2312" w:hAnsi="仿宋_GB2312" w:cs="仿宋_GB2312" w:eastAsia="仿宋_GB2312"/>
                <w:sz w:val="24"/>
              </w:rPr>
              <w:t>对遗址的价值深度挖掘、客观评价，遵循有效利用的工作要求，制定合理的展示利用框架与重点点段展示规划。</w:t>
            </w:r>
          </w:p>
          <w:p>
            <w:pPr>
              <w:pStyle w:val="null5"/>
              <w:jc w:val="both"/>
            </w:pPr>
            <w:r>
              <w:rPr>
                <w:rFonts w:ascii="仿宋_GB2312" w:hAnsi="仿宋_GB2312" w:cs="仿宋_GB2312" w:eastAsia="仿宋_GB2312"/>
                <w:sz w:val="24"/>
              </w:rPr>
              <w:t>6.保护规划文件应包括规划文本、规划图纸、规划说明和基础资料汇编四部分。</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both"/>
            </w:pPr>
            <w:r>
              <w:rPr>
                <w:rFonts w:ascii="仿宋_GB2312" w:hAnsi="仿宋_GB2312" w:cs="仿宋_GB2312" w:eastAsia="仿宋_GB2312"/>
                <w:sz w:val="24"/>
              </w:rPr>
              <w:t>成果要求：</w:t>
            </w:r>
          </w:p>
          <w:p>
            <w:pPr>
              <w:pStyle w:val="null5"/>
              <w:jc w:val="both"/>
            </w:pPr>
            <w:r>
              <w:rPr>
                <w:rFonts w:ascii="仿宋_GB2312" w:hAnsi="仿宋_GB2312" w:cs="仿宋_GB2312" w:eastAsia="仿宋_GB2312"/>
                <w:sz w:val="19"/>
              </w:rPr>
              <w:t>1.</w:t>
            </w:r>
            <w:r>
              <w:rPr>
                <w:rFonts w:ascii="仿宋_GB2312" w:hAnsi="仿宋_GB2312" w:cs="仿宋_GB2312" w:eastAsia="仿宋_GB2312"/>
                <w:sz w:val="24"/>
              </w:rPr>
              <w:t>纸质版成果：《内蒙古自治区秦直道遗址保护规划纲要》（</w:t>
            </w:r>
            <w:r>
              <w:rPr>
                <w:rFonts w:ascii="仿宋_GB2312" w:hAnsi="仿宋_GB2312" w:cs="仿宋_GB2312" w:eastAsia="仿宋_GB2312"/>
                <w:sz w:val="24"/>
              </w:rPr>
              <w:t>2025-2035</w:t>
            </w:r>
            <w:r>
              <w:rPr>
                <w:rFonts w:ascii="仿宋_GB2312" w:hAnsi="仿宋_GB2312" w:cs="仿宋_GB2312" w:eastAsia="仿宋_GB2312"/>
                <w:sz w:val="24"/>
              </w:rPr>
              <w:t>）各申报、审批阶段成果三套，颁布版十套。</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电子版成果：包含纸质版成果的规划文本、规划图纸、规划说明和基础资料汇编的</w:t>
            </w:r>
            <w:r>
              <w:rPr>
                <w:rFonts w:ascii="仿宋_GB2312" w:hAnsi="仿宋_GB2312" w:cs="仿宋_GB2312" w:eastAsia="仿宋_GB2312"/>
                <w:sz w:val="24"/>
              </w:rPr>
              <w:t>PDF</w:t>
            </w:r>
            <w:r>
              <w:rPr>
                <w:rFonts w:ascii="仿宋_GB2312" w:hAnsi="仿宋_GB2312" w:cs="仿宋_GB2312" w:eastAsia="仿宋_GB2312"/>
                <w:sz w:val="24"/>
              </w:rPr>
              <w:t>电子备份文件各一套。</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规划文本：包括各类专项评估、规划原则与目标、保护区划与措施、若干专项规划、规划分期五部分基本内容。</w:t>
            </w:r>
          </w:p>
          <w:p>
            <w:pPr>
              <w:pStyle w:val="null5"/>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规划图纸：结合规划文本，绘制规划图纸。主要包括遗存分布图、现状图、评估图、保护区划图、环境规划图、管理规划图等。</w:t>
            </w:r>
          </w:p>
          <w:p>
            <w:pPr>
              <w:pStyle w:val="null5"/>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规划说明：对规划文本中具体内容进行解释与说明。可以由保护对象说明、专项评估报告、专项规划说明、规划实施保障建议等内容组成。</w:t>
            </w:r>
          </w:p>
          <w:p>
            <w:pPr>
              <w:pStyle w:val="null5"/>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基础资料汇编：项目编制中收集、使用的各类研究资料汇总，包括文献资料、考古资料、相关规划、现状图文资料和政府文件等。</w:t>
            </w:r>
          </w:p>
        </w:tc>
      </w:tr>
      <w:tr>
        <w:tc>
          <w:tcPr>
            <w:tcW w:type="dxa" w:w="2769"/>
          </w:tcPr>
          <w:p>
            <w:pPr>
              <w:pStyle w:val="null5"/>
              <w:jc w:val="left"/>
            </w:pPr>
            <w:r>
              <w:rPr>
                <w:rFonts w:ascii="仿宋_GB2312" w:hAnsi="仿宋_GB2312" w:cs="仿宋_GB2312" w:eastAsia="仿宋_GB2312"/>
              </w:rPr>
              <w:t>6</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4"/>
              </w:rPr>
              <w:t>规划期限：</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w:t>
            </w:r>
            <w:r>
              <w:rPr>
                <w:rFonts w:ascii="仿宋_GB2312" w:hAnsi="仿宋_GB2312" w:cs="仿宋_GB2312" w:eastAsia="仿宋_GB2312"/>
                <w:sz w:val="24"/>
              </w:rPr>
              <w:t>—</w:t>
            </w:r>
            <w:r>
              <w:rPr>
                <w:rFonts w:ascii="仿宋_GB2312" w:hAnsi="仿宋_GB2312" w:cs="仿宋_GB2312" w:eastAsia="仿宋_GB2312"/>
                <w:sz w:val="24"/>
              </w:rPr>
              <w:t>203</w:t>
            </w:r>
            <w:r>
              <w:rPr>
                <w:rFonts w:ascii="仿宋_GB2312" w:hAnsi="仿宋_GB2312" w:cs="仿宋_GB2312" w:eastAsia="仿宋_GB2312"/>
                <w:sz w:val="24"/>
              </w:rPr>
              <w:t>5</w:t>
            </w:r>
            <w:r>
              <w:rPr>
                <w:rFonts w:ascii="仿宋_GB2312" w:hAnsi="仿宋_GB2312" w:cs="仿宋_GB2312" w:eastAsia="仿宋_GB2312"/>
                <w:sz w:val="24"/>
              </w:rPr>
              <w:t>年</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审查有效的营业执照或事业单位法人证书或执业许可证或自然人的身份证明或其他组织形式。（响应文件需附证件扫描件加盖公章）</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审查供应商2023年度或2024年度经会计师事务所出具的财务审计报告或其基本开户银行出具的近一年内的银行资信证明。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1.提供递交响应文件截止之日前一年内（至少一个月）的良好缴纳税收的相关凭据。（以税务机关提供的纳税凭据或银行入账单为准） 2.提供递交响应文件截止之日前一年内（至少一个月）缴纳社会保险的凭证。（以专用收据或社会保险缴纳清单为准） 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审查供应商出具的“具有履行合同所必需的设备和专业技术能力”声明。（如未提供模版，可格式自拟）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资格审查时，供应商未被列入失信被执行人、税收违法黑名单、政府采购严重违法失信行为记录名单。（以通过查询“信用中国”网站和“中国政府采购网”网站的信用记录内容为准。）</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本项目特定资格要求</w:t>
            </w:r>
          </w:p>
        </w:tc>
        <w:tc>
          <w:tcPr>
            <w:tcW w:type="dxa" w:w="4984"/>
          </w:tcPr>
          <w:p>
            <w:pPr>
              <w:pStyle w:val="null5"/>
              <w:jc w:val="left"/>
            </w:pPr>
            <w:r>
              <w:rPr>
                <w:rFonts w:ascii="仿宋_GB2312" w:hAnsi="仿宋_GB2312" w:cs="仿宋_GB2312" w:eastAsia="仿宋_GB2312"/>
              </w:rPr>
              <w:t>供应商应具备由国家文物行政主管部门颁发的文物保护工程勘察设计甲级资质，业务范围包含保护规划。（响应文件需附资质证书扫描件）</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技术部分55.00分</w:t>
            </w:r>
          </w:p>
          <w:p>
            <w:pPr>
              <w:pStyle w:val="null5"/>
              <w:jc w:val="left"/>
            </w:pPr>
            <w:r>
              <w:rPr>
                <w:rFonts w:ascii="仿宋_GB2312" w:hAnsi="仿宋_GB2312" w:cs="仿宋_GB2312" w:eastAsia="仿宋_GB2312"/>
              </w:rPr>
              <w:t>商务部分35.00分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总体规划技术思路</w:t>
            </w:r>
          </w:p>
        </w:tc>
        <w:tc>
          <w:tcPr>
            <w:tcW w:type="dxa" w:w="3115"/>
          </w:tcPr>
          <w:p>
            <w:pPr>
              <w:pStyle w:val="null5"/>
              <w:jc w:val="left"/>
            </w:pPr>
            <w:r>
              <w:rPr>
                <w:rFonts w:ascii="仿宋_GB2312" w:hAnsi="仿宋_GB2312" w:cs="仿宋_GB2312" w:eastAsia="仿宋_GB2312"/>
              </w:rPr>
              <w:t>1、对遗址保护规划理解准确，规划理念符合遗产保护与发展要求，得2-4分； 2、规划总体思路具有明显的针对性，与本项目相适应，得2-4分； 3、对于遗址保护规划有完整、详细的规划大纲，得2-4分； 4、编制内容深度严格执行相关规范、规程及强制性条文要求，得2-4分； 5、对遗址相关文献资料收集齐全，可利用程度高，规划编制参考文献符合相关技术要求，得2-4分； 五项最高得20分，不提供不得分。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对本项目的现状了解程度</w:t>
            </w:r>
          </w:p>
        </w:tc>
        <w:tc>
          <w:tcPr>
            <w:tcW w:type="dxa" w:w="3115"/>
          </w:tcPr>
          <w:p>
            <w:pPr>
              <w:pStyle w:val="null5"/>
              <w:jc w:val="left"/>
            </w:pPr>
            <w:r>
              <w:rPr>
                <w:rFonts w:ascii="仿宋_GB2312" w:hAnsi="仿宋_GB2312" w:cs="仿宋_GB2312" w:eastAsia="仿宋_GB2312"/>
              </w:rPr>
              <w:t>1、对文物保护单位基本情况有清晰全面的认识，得2-5分； 2、对文物保护单位现状问题把握准确，规划分析评估全面细致，得2-5分； 两项最高得10分，不提供不得分。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项目重点工作内容</w:t>
            </w:r>
          </w:p>
        </w:tc>
        <w:tc>
          <w:tcPr>
            <w:tcW w:type="dxa" w:w="3115"/>
          </w:tcPr>
          <w:p>
            <w:pPr>
              <w:pStyle w:val="null5"/>
              <w:jc w:val="left"/>
            </w:pPr>
            <w:r>
              <w:rPr>
                <w:rFonts w:ascii="仿宋_GB2312" w:hAnsi="仿宋_GB2312" w:cs="仿宋_GB2312" w:eastAsia="仿宋_GB2312"/>
              </w:rPr>
              <w:t>1、文物保护规划按照文物保护单位的类别、规模、内容以及周围环境的历史和现实情况，提出的规划重点准确、全面，得3-8分； 2、对重点工作内容有针对性的规划和应对措施，得3-7分； 两项最高得15分，不提供不得分。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项目质量、进度保障措施</w:t>
            </w:r>
          </w:p>
        </w:tc>
        <w:tc>
          <w:tcPr>
            <w:tcW w:type="dxa" w:w="3115"/>
          </w:tcPr>
          <w:p>
            <w:pPr>
              <w:pStyle w:val="null5"/>
              <w:jc w:val="left"/>
            </w:pPr>
            <w:r>
              <w:rPr>
                <w:rFonts w:ascii="仿宋_GB2312" w:hAnsi="仿宋_GB2312" w:cs="仿宋_GB2312" w:eastAsia="仿宋_GB2312"/>
              </w:rPr>
              <w:t>根据项目质量保障措施、进度保障措施内容进行评分： 1.项目质量保障方案有全面的质量控制体系，清晰的质量控制方法，明确质量责任人，质量控制方案内容的针对性强，得1-2分； 2.项目进度计划满足采购要求，进度保障措施完善，切实可行，得1-3分； 两项最高得5分，不提供不得分。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根据服务承诺及附加服务进行评分： 服务承诺及附加服务详实具体、可操作性强的，得4-5分；服务承诺及附加服务描述不清或可操作性较差的，得1-2分；最高得5分，不提供不得分。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供应商业绩</w:t>
            </w:r>
          </w:p>
        </w:tc>
        <w:tc>
          <w:tcPr>
            <w:tcW w:type="dxa" w:w="3115"/>
          </w:tcPr>
          <w:p>
            <w:pPr>
              <w:pStyle w:val="null5"/>
              <w:jc w:val="left"/>
            </w:pPr>
            <w:r>
              <w:rPr>
                <w:rFonts w:ascii="仿宋_GB2312" w:hAnsi="仿宋_GB2312" w:cs="仿宋_GB2312" w:eastAsia="仿宋_GB2312"/>
              </w:rPr>
              <w:t>1.2021年1月1日至今，供应商每提供1项全国重点文物保护单位的保护规划编制的项目业绩得2分；每提供1项省、市、县级重点文物保护单位的保护规划编制的项目业绩得1分，最高得10分。 （以合同为准，响应文件需附合同扫描件，项目业绩合同应至少提供合同的首页、金额页及签字盖章页。合同中合同金额、服务内容、买卖双方名称及签章等内容应清晰可辩，未提供或不清晰导致无法识别的不得分。） 2.2021年1月1日至今，供应商每提供1项通过国家文物局评审的全国重点文物保护单位的保护规划的项目业绩得2.5分，最高得10分。 （以批复时间为准，响应文件需附完整的批复文件扫描件及合同扫描件，合同应至少提供合同的首页、金额页及签字盖章页。合同中合同金额、服务内容、买卖双方名称及签章等内容应清晰可辩，未提供或不清晰导致无法识别的不得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项目负责人资格</w:t>
            </w:r>
          </w:p>
        </w:tc>
        <w:tc>
          <w:tcPr>
            <w:tcW w:type="dxa" w:w="3115"/>
          </w:tcPr>
          <w:p>
            <w:pPr>
              <w:pStyle w:val="null5"/>
              <w:jc w:val="left"/>
            </w:pPr>
            <w:r>
              <w:rPr>
                <w:rFonts w:ascii="仿宋_GB2312" w:hAnsi="仿宋_GB2312" w:cs="仿宋_GB2312" w:eastAsia="仿宋_GB2312"/>
              </w:rPr>
              <w:t>供应商拟派项目负责人具备文物保护工程责任设计师（保护规划）方向执业资格，得2.5分；同时具有文博相关专业副高级及以上职称的得2.5分；最高得5分，未提供不得分。 文博相关专业包括“文物与博物（馆）”、“考古”、“古建工程”等。（以职称证、注册证为准，响应文件需附相应证件扫描件。项目负责人不可与项目团队成员重复，且必须在本单位工作，以供应商所属社保机构出具的近6个月（含）以上（新入职人员要求提供入职至投标截止日前）的社保缴费证明（并加盖缴费证明专用章）或其他能够证明参加社保的有效证明材料）</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项目团队</w:t>
            </w:r>
          </w:p>
        </w:tc>
        <w:tc>
          <w:tcPr>
            <w:tcW w:type="dxa" w:w="3115"/>
          </w:tcPr>
          <w:p>
            <w:pPr>
              <w:pStyle w:val="null5"/>
              <w:jc w:val="left"/>
            </w:pPr>
            <w:r>
              <w:rPr>
                <w:rFonts w:ascii="仿宋_GB2312" w:hAnsi="仿宋_GB2312" w:cs="仿宋_GB2312" w:eastAsia="仿宋_GB2312"/>
              </w:rPr>
              <w:t>供应商拟派项目团队成员应不少于3名，且专业配备齐全， 1.项目团队成员中（不含项目负责人）每有1名具备文物保护工程责任设计师（保护规划）方向执业资格，且同时具有文博相关专业副高级及以上职称的人员得1.5分；最高得6分，未提供不得分。 2.项目团队成员中（不含项目负责人）每有1名具备文物保护工程责任设计师（保护规划）方向执业资格或文博相关专业副高级及以上职称的人员得1分；最高得4分，未提供不得分。 文博相关专业包括“文物与博物（馆）”、“考古”、“古建工程”等。（以注册证、职称证为准，响应文件需附相应证件扫描件。上述人员必须在本单位工作，以供应商所属社保机构出具的近6个月（含）以上（新入职人员要求提供入职至投标截止日前）的社保缴费证明（并加盖缴费证明专用章）或其他能够证明参加社保的有效证明材料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