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采购花粉采集器</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鄂尔多斯市第二人民医院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内蒙古众联工程项目管理有限责任公司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ESZCS-G-H-250014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内蒙古众联工程项目管理有限责任公司</w:t>
      </w:r>
      <w:r>
        <w:rPr>
          <w:rFonts w:ascii="仿宋_GB2312" w:hAnsi="仿宋_GB2312" w:cs="仿宋_GB2312" w:eastAsia="仿宋_GB2312"/>
        </w:rPr>
        <w:t xml:space="preserve"> 受 </w:t>
      </w:r>
      <w:r>
        <w:rPr>
          <w:rFonts w:ascii="仿宋_GB2312" w:hAnsi="仿宋_GB2312" w:cs="仿宋_GB2312" w:eastAsia="仿宋_GB2312"/>
        </w:rPr>
        <w:t>鄂尔多斯市第二人民医院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采购花粉采集器</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采购花粉采集器</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ESZCS-G-H-250014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427[2025]00061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花粉采集器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内蒙古众联工程项目管理有限责任公司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内蒙古自治区鄂尔多斯市东胜区宏大国际B座1702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15049590325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鄂尔多斯市第二人民医院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鄂尔多斯市空港物流园区经四路和纬五路交汇处</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龚首丞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18647777416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代理服务费收费标准：参照内工建协（2022）34号文执行</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鄂尔多斯市第二人民医院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内蒙古众联工程项目管理有限责任公司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六个月内（任意一个月）的良好缴纳税收的相关凭据。（以税务机关提供的纳税凭据或银行入账单为准）2.提供递交响应文件截止之日前六个月（任意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到提交响应文件的截止时间，供应商未被列入失信被执行人、重大税收违法案件当事人名单 、政府采购严重违法失信行为记录名单。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提升变态反应科诊疗能力</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鄂尔多斯市第二人民医院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1、合同签订后，达到付款条件起30日，支付合同总金额的30.00%</w:t>
            </w:r>
          </w:p>
          <w:p>
            <w:pPr>
              <w:pStyle w:val="null5"/>
              <w:jc w:val="left"/>
            </w:pPr>
            <w:r>
              <w:rPr>
                <w:rFonts w:ascii="仿宋_GB2312" w:hAnsi="仿宋_GB2312" w:cs="仿宋_GB2312" w:eastAsia="仿宋_GB2312"/>
              </w:rPr>
              <w:t>2、验收合格后，达到付款条件起30日，支付合同总金额的70.00%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标的名称：花粉采集器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自动花粉采集器需采用光散射和激光诱导荧光技术，采用单粒子检测算法，对粒子数进行统计；（投标文件中提供第三方有权检 测机构出具的具有CMA或CNAS标识的检测报告影印件或扫描件证明）</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监测内容：颗粒测量参数:特定粒子的浓度（粒/m³ ) 、米散 射信号、荧光信号、气溶胶的粒径分布，PM2.5/PM10 数据；气象五 参数：温度、湿度、大气压强、风速、风向；（投标文件中提供第三 方有权检测机构出具的具有CMA或 CNAS 标识的检测报告影印件 或扫描件证明）</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检测方式：粒径测量:采用弹性光散射原理，依据信号幅度及信号宽度表征粒子尺寸；生物活性判断:采用激光诱导荧光原理，可以对粒子的生物活性进行判断；（投标文件中提供第三方有权检测机构出具的具有CMA或CNAS标识的检测报告影印件或扫描件证明）</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激光器类型：低功耗高寿命半导体激光器；</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激光波长：400-410nm；</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激光功率：0-350mW（可调）；</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采样流量：0-20L/min（可调）；</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时间分辨率：≤150 毫秒（倍数可调）；</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偏振比探测：探测器通过接收两个偏振分量（垂直偏振、水平 偏振），计算出单个颗粒散射光的偏振比，表征粒子形态信息，实现颗粒分类与识别。</w:t>
            </w:r>
          </w:p>
        </w:tc>
      </w:tr>
      <w:tr>
        <w:tc>
          <w:tcPr>
            <w:tcW w:type="dxa" w:w="2769"/>
          </w:tcPr>
          <w:p>
            <w:pPr>
              <w:pStyle w:val="null5"/>
              <w:jc w:val="left"/>
            </w:pPr>
            <w:r>
              <w:rPr>
                <w:rFonts w:ascii="仿宋_GB2312" w:hAnsi="仿宋_GB2312" w:cs="仿宋_GB2312" w:eastAsia="仿宋_GB2312"/>
              </w:rPr>
              <w:t>10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粒径测量范围：0.3-200 μm ；（投标文件中提供第三方有权 检测机构出具的具有 CMA或CNAS 标识的检测报告影印件或扫描 件证明）</w:t>
            </w:r>
          </w:p>
        </w:tc>
      </w:tr>
      <w:tr>
        <w:tc>
          <w:tcPr>
            <w:tcW w:type="dxa" w:w="2769"/>
          </w:tcPr>
          <w:p>
            <w:pPr>
              <w:pStyle w:val="null5"/>
              <w:jc w:val="left"/>
            </w:pPr>
            <w:r>
              <w:rPr>
                <w:rFonts w:ascii="仿宋_GB2312" w:hAnsi="仿宋_GB2312" w:cs="仿宋_GB2312" w:eastAsia="仿宋_GB2312"/>
              </w:rPr>
              <w:t>11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荧光探测范围：480-560nm；（投标文件中提供第三方有权 检测机构出具的具有CMA或CNAS标识的检测报告影印件或扫描 件证明）</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分光性能：有效光反射率大于90% ，有效光透过率大于90%；</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滤光性能：有效光透过率大于90%；</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可通过对采样气流大小进行实时监测及气泵转速调节，可通 过采集界面进行流量实时查询，进行采样气流进行校准和质量控制；（投标文件中提供第三方有权检测机构出具的具有 CMA 或 CNAS 标 识的检测报告影印件或扫描件证明）</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可通过调用采集原始信号，进行噪声信号的滤除以及粒径阈值的标定；（投标文件中提供第三 方有权检测机构出具的具有 CMA或CNAS 标识的检测报告影印件或 扫描件证明）</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通讯方式：以太网或移动路由器</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支持组网功能</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外部接口：网口、USB2.0/3.0</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供电要求：市电、锂电池</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运行环境：室外-25℃~50℃, 湿度0-95%（不结露)；</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防水防尘等级需达到IP55。（投标文件中提供第三方有权检测机构出具的具有 CMA 或 CNAS 标识的检测报告影印件或扫描件证明）</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软件系统</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花粉浓度和种类：可视化形式展示（柱形图等）展示花粉浓度变化情况，并可识别花粉种类和每个种类的浓度。</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自定义设置：可对采集时间、报警阈值信息进行自定义设置</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地图展示：可在地图上展示花粉监测仪的位置，并可查看实时监 测数据和历史监测数据</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组网监测：可实现设备的组网监测监测，展示不同监测设备的监 测数据，并可根据位置、时间等信息进行对比。</w:t>
            </w:r>
          </w:p>
        </w:tc>
      </w:tr>
      <w:tr>
        <w:tc>
          <w:tcPr>
            <w:tcW w:type="dxa" w:w="2769"/>
          </w:tcPr>
          <w:p>
            <w:pPr>
              <w:pStyle w:val="null5"/>
              <w:jc w:val="left"/>
            </w:pPr>
            <w:r>
              <w:rPr>
                <w:rFonts w:ascii="仿宋_GB2312" w:hAnsi="仿宋_GB2312" w:cs="仿宋_GB2312" w:eastAsia="仿宋_GB2312"/>
              </w:rPr>
              <w:t>27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安装区域：中标方在规定时间内负责安装设备到甲方指定区域，并负责安装设备的一切基础设备设施的建设，全部安装调试完毕验收合格后交于甲方。</w:t>
            </w:r>
          </w:p>
        </w:tc>
      </w:tr>
      <w:tr>
        <w:tc>
          <w:tcPr>
            <w:tcW w:type="dxa" w:w="2769"/>
          </w:tcPr>
          <w:p>
            <w:pPr>
              <w:pStyle w:val="null5"/>
              <w:jc w:val="left"/>
            </w:pPr>
            <w:r>
              <w:rPr>
                <w:rFonts w:ascii="仿宋_GB2312" w:hAnsi="仿宋_GB2312" w:cs="仿宋_GB2312" w:eastAsia="仿宋_GB2312"/>
              </w:rPr>
              <w:t>28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培训指导：中标方需对设备全程培训指导甲方工作人员使用，并有培训记录，并提供24小时手机电话售后服务。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按要求进行网上投标、投标保证金不收取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技术部分56.00分</w:t>
            </w:r>
          </w:p>
          <w:p>
            <w:pPr>
              <w:pStyle w:val="null5"/>
              <w:jc w:val="left"/>
            </w:pPr>
            <w:r>
              <w:rPr>
                <w:rFonts w:ascii="仿宋_GB2312" w:hAnsi="仿宋_GB2312" w:cs="仿宋_GB2312" w:eastAsia="仿宋_GB2312"/>
              </w:rPr>
              <w:t>商务部分14.00分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一般技术参数（未标“★”项）</w:t>
            </w:r>
          </w:p>
        </w:tc>
        <w:tc>
          <w:tcPr>
            <w:tcW w:type="dxa" w:w="3115"/>
          </w:tcPr>
          <w:p>
            <w:pPr>
              <w:pStyle w:val="null5"/>
              <w:jc w:val="left"/>
            </w:pPr>
            <w:r>
              <w:rPr>
                <w:rFonts w:ascii="仿宋_GB2312" w:hAnsi="仿宋_GB2312" w:cs="仿宋_GB2312" w:eastAsia="仿宋_GB2312"/>
              </w:rPr>
              <w:t>所有产品一般技术参数指标（非“★”项）完全满足招标文件要求的得40分，每有一项不满足或负偏离扣的4分，分值扣完为止。</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1.投标人提供详细的组织实施方案，方案有较强的可操作性，实施计划进度合理，配备专业的技术团队，提供详细的质量管理计划，技术措施科学合理，能够指导项目实施全过程，并有应急处置方案，得6分；2.组织实施方案较详细，计划较合理，配备技术团队，得4分；3.组织实施方案不详细，可操作性一般，技术团队专业性差，得2分；4.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一、故障响应时间：1.半小时内响应得3分；2.两小时以内响应得2分；3.四个小时内响应得1分；4.四个小时以上响应不得分。 需到场处理故障时：1.十二小时内到现场得3分；2.二十四小时内到现场得2分；3.四十八小时内到达现场得1分；4.四十八小时以上到现场不得分。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技术培训方案</w:t>
            </w:r>
          </w:p>
        </w:tc>
        <w:tc>
          <w:tcPr>
            <w:tcW w:type="dxa" w:w="3115"/>
          </w:tcPr>
          <w:p>
            <w:pPr>
              <w:pStyle w:val="null5"/>
              <w:jc w:val="left"/>
            </w:pPr>
            <w:r>
              <w:rPr>
                <w:rFonts w:ascii="仿宋_GB2312" w:hAnsi="仿宋_GB2312" w:cs="仿宋_GB2312" w:eastAsia="仿宋_GB2312"/>
              </w:rPr>
              <w:t>培训方案包括但不限于培训方式、培训内容、培训目标、培训质量保证能内容。 1.培训方案完善合理，有详细的培训计划且能形成培训体系，得4分；2.培训方案比较合理，简单描述了培训方案，得2分；3.培训方案较差，得1分；4.不提供，不得分。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投标人提供2022年1月1日至今类似项目业绩（医疗设备），要求时间以合同签订时间为准，投标文件中附有其业绩证明材料，业绩以投标人的销售或服务合同为依据，每提供一个计2分，满分8分。 注：业绩（销售或服务合同）中甲乙双方签章、合同签订时间、合同金额和设备名称必须清晰，否则不予评分。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质保期</w:t>
            </w:r>
          </w:p>
        </w:tc>
        <w:tc>
          <w:tcPr>
            <w:tcW w:type="dxa" w:w="3115"/>
          </w:tcPr>
          <w:p>
            <w:pPr>
              <w:pStyle w:val="null5"/>
              <w:jc w:val="left"/>
            </w:pPr>
            <w:r>
              <w:rPr>
                <w:rFonts w:ascii="仿宋_GB2312" w:hAnsi="仿宋_GB2312" w:cs="仿宋_GB2312" w:eastAsia="仿宋_GB2312"/>
              </w:rPr>
              <w:t>根据招标文件要求，质保期3年，不满足则取消投标资格。质保期每超出一年加2分（不足一年的不加分）,满分2分。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相关认证</w:t>
            </w:r>
          </w:p>
        </w:tc>
        <w:tc>
          <w:tcPr>
            <w:tcW w:type="dxa" w:w="3115"/>
          </w:tcPr>
          <w:p>
            <w:pPr>
              <w:pStyle w:val="null5"/>
              <w:jc w:val="left"/>
            </w:pPr>
            <w:r>
              <w:rPr>
                <w:rFonts w:ascii="仿宋_GB2312" w:hAnsi="仿宋_GB2312" w:cs="仿宋_GB2312" w:eastAsia="仿宋_GB2312"/>
              </w:rPr>
              <w:t>投标人或核心产品生产厂家具有且提供（在有效期内）： 1.ISO13485认证的，得2分； 2.ISO9001认证的；得1分； 3.ISO14001认证的，得1分。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